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F21E" w14:textId="77777777" w:rsidR="00D8466B" w:rsidRDefault="00D8466B" w:rsidP="00875B5C">
      <w:pPr>
        <w:jc w:val="center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5C2868">
        <w:rPr>
          <w:rFonts w:ascii="Garamond" w:hAnsi="Garamond"/>
          <w:b/>
          <w:sz w:val="16"/>
          <w:szCs w:val="16"/>
        </w:rPr>
        <w:t xml:space="preserve">                    </w:t>
      </w:r>
      <w:r w:rsidR="0079609A">
        <w:rPr>
          <w:rFonts w:ascii="Garamond" w:hAnsi="Garamond"/>
          <w:b/>
          <w:sz w:val="16"/>
          <w:szCs w:val="16"/>
        </w:rPr>
        <w:tab/>
      </w:r>
      <w:r w:rsidR="0079609A">
        <w:rPr>
          <w:rFonts w:ascii="Garamond" w:hAnsi="Garamond"/>
          <w:b/>
          <w:sz w:val="16"/>
          <w:szCs w:val="16"/>
        </w:rPr>
        <w:tab/>
      </w:r>
      <w:r w:rsidR="0079609A">
        <w:rPr>
          <w:rFonts w:ascii="Garamond" w:hAnsi="Garamond"/>
          <w:b/>
          <w:sz w:val="16"/>
          <w:szCs w:val="16"/>
        </w:rPr>
        <w:tab/>
      </w:r>
      <w:r w:rsidR="0079609A">
        <w:rPr>
          <w:rFonts w:ascii="Garamond" w:hAnsi="Garamond"/>
          <w:b/>
          <w:sz w:val="16"/>
          <w:szCs w:val="16"/>
        </w:rPr>
        <w:tab/>
      </w:r>
      <w:r w:rsidR="005C2868">
        <w:rPr>
          <w:rFonts w:ascii="Garamond" w:hAnsi="Garamond"/>
          <w:b/>
          <w:sz w:val="16"/>
          <w:szCs w:val="16"/>
        </w:rPr>
        <w:t xml:space="preserve">10/24/16   </w:t>
      </w:r>
    </w:p>
    <w:p w14:paraId="4D07F21F" w14:textId="77777777" w:rsidR="005C2868" w:rsidRPr="00D8466B" w:rsidRDefault="005C2868" w:rsidP="00875B5C">
      <w:pPr>
        <w:jc w:val="center"/>
        <w:rPr>
          <w:rFonts w:ascii="Garamond" w:hAnsi="Garamond"/>
          <w:sz w:val="16"/>
          <w:szCs w:val="16"/>
        </w:rPr>
      </w:pPr>
    </w:p>
    <w:p w14:paraId="4D07F220" w14:textId="77777777" w:rsidR="00667698" w:rsidRPr="00D8466B" w:rsidRDefault="00875B5C" w:rsidP="00875B5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D8466B">
        <w:rPr>
          <w:rFonts w:ascii="Garamond" w:hAnsi="Garamond"/>
          <w:b/>
          <w:sz w:val="28"/>
          <w:szCs w:val="28"/>
          <w:u w:val="single"/>
        </w:rPr>
        <w:t>GUARDIANSHIP REFERRAL PROCESS</w:t>
      </w:r>
    </w:p>
    <w:p w14:paraId="4D07F221" w14:textId="77777777" w:rsidR="00875B5C" w:rsidRDefault="00875B5C" w:rsidP="00875B5C">
      <w:pPr>
        <w:jc w:val="center"/>
        <w:rPr>
          <w:rFonts w:ascii="Garamond" w:hAnsi="Garamond"/>
          <w:b/>
          <w:sz w:val="28"/>
          <w:szCs w:val="28"/>
        </w:rPr>
      </w:pPr>
    </w:p>
    <w:p w14:paraId="4D07F222" w14:textId="35D0834D" w:rsidR="00875B5C" w:rsidRPr="008842F6" w:rsidRDefault="00A32C83" w:rsidP="00A32C83">
      <w:pPr>
        <w:pStyle w:val="ListParagraph"/>
        <w:numPr>
          <w:ilvl w:val="0"/>
          <w:numId w:val="1"/>
        </w:num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</w:t>
      </w:r>
      <w:r w:rsidR="00795ADD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Call          </w:t>
      </w:r>
      <w:r w:rsidR="00875B5C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County Department of Human Services at </w:t>
      </w:r>
      <w:r w:rsidR="00795ADD" w:rsidRPr="008842F6">
        <w:rPr>
          <w:rFonts w:ascii="Garamond" w:eastAsia="Times New Roman" w:hAnsi="Garamond"/>
          <w:b/>
          <w:sz w:val="26"/>
          <w:szCs w:val="26"/>
          <w:shd w:val="clear" w:color="auto" w:fill="FFFFFF"/>
        </w:rPr>
        <w:t xml:space="preserve">         </w:t>
      </w:r>
      <w:r w:rsidR="005C2868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</w:t>
      </w:r>
      <w:r w:rsidR="00875B5C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and ask to speak to an Adult Guardianship and Protective (AGP) Services social worker. </w:t>
      </w:r>
      <w:r w:rsidR="00285531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When </w:t>
      </w:r>
      <w:r w:rsidR="00875B5C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you receive a voice mail message please leave your name, number, and name of individual whom you believe needs guardianship.</w:t>
      </w:r>
    </w:p>
    <w:p w14:paraId="4D07F223" w14:textId="77777777" w:rsidR="00891268" w:rsidRPr="008842F6" w:rsidRDefault="00891268" w:rsidP="00891268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</w:p>
    <w:p w14:paraId="4D07F224" w14:textId="77777777" w:rsidR="00891268" w:rsidRPr="008842F6" w:rsidRDefault="00891268" w:rsidP="00891268">
      <w:pPr>
        <w:pStyle w:val="ListParagraph"/>
        <w:numPr>
          <w:ilvl w:val="0"/>
          <w:numId w:val="1"/>
        </w:num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AGP will not accept referrals from a clinic.  If a case manager is involved the clinic staff should voice their concerns to this individual.  If a case manager is not involved and clinic staff believe guardianship is necessary</w:t>
      </w:r>
      <w:r w:rsidR="00DE3DCF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,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information about area elder law attorneys</w:t>
      </w:r>
      <w:r w:rsidR="00A45B1E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and the ADRC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will be provided. </w:t>
      </w:r>
    </w:p>
    <w:p w14:paraId="4D07F225" w14:textId="77777777" w:rsidR="00875B5C" w:rsidRPr="008842F6" w:rsidRDefault="00875B5C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</w:p>
    <w:p w14:paraId="4D07F226" w14:textId="77777777" w:rsidR="00875B5C" w:rsidRPr="008842F6" w:rsidRDefault="00A32C83" w:rsidP="00A32C83">
      <w:pPr>
        <w:pStyle w:val="ListParagraph"/>
        <w:numPr>
          <w:ilvl w:val="0"/>
          <w:numId w:val="1"/>
        </w:num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</w:t>
      </w:r>
      <w:r w:rsidR="00875B5C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An AGP social worker will call you back </w:t>
      </w:r>
      <w:r w:rsidR="00173E3C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and </w:t>
      </w:r>
      <w:r w:rsidR="003438D2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ask you for the following information:</w:t>
      </w:r>
    </w:p>
    <w:p w14:paraId="4D07F227" w14:textId="77777777" w:rsidR="003438D2" w:rsidRPr="008842F6" w:rsidRDefault="003438D2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</w:r>
      <w:r w:rsidR="00A32C83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  <w:t>*Name, address, telephone number and date of birth of individual</w:t>
      </w:r>
    </w:p>
    <w:p w14:paraId="4D07F228" w14:textId="77777777" w:rsidR="00A32C83" w:rsidRPr="008842F6" w:rsidRDefault="00A32C83" w:rsidP="00D8466B">
      <w:pPr>
        <w:ind w:left="1440"/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*Is there a POAHC or DPOA.  If yes, 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is it activated? W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hy is guardianship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needed?</w:t>
      </w:r>
      <w:r w:rsidR="00285531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You will be asked to send the POA to AGP.</w:t>
      </w:r>
    </w:p>
    <w:p w14:paraId="4D07F229" w14:textId="77777777" w:rsidR="00A32C83" w:rsidRPr="008842F6" w:rsidRDefault="00A32C83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  <w:t xml:space="preserve">*Does person have </w:t>
      </w:r>
      <w:r w:rsidR="00D8466B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the </w:t>
      </w:r>
      <w:r w:rsidR="004A7063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ability to complete a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POA?</w:t>
      </w:r>
    </w:p>
    <w:p w14:paraId="4D07F22A" w14:textId="77777777" w:rsidR="00A32C83" w:rsidRPr="008842F6" w:rsidRDefault="00A32C83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  <w:t>*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Does individual have a payee? If yes, is guardianship of estate needed?</w:t>
      </w:r>
    </w:p>
    <w:p w14:paraId="4D07F22B" w14:textId="77777777" w:rsidR="00B61687" w:rsidRPr="008842F6" w:rsidRDefault="00B61687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  <w:t>*Does individual have a case manager?</w:t>
      </w:r>
    </w:p>
    <w:p w14:paraId="4D07F22C" w14:textId="77777777" w:rsidR="00B61687" w:rsidRPr="008842F6" w:rsidRDefault="00B61687" w:rsidP="00875B5C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ab/>
        <w:t>*Name and number of doctor.</w:t>
      </w:r>
    </w:p>
    <w:p w14:paraId="4D07F22D" w14:textId="77777777" w:rsidR="00B61687" w:rsidRPr="008842F6" w:rsidRDefault="00B61687" w:rsidP="00B61687">
      <w:pPr>
        <w:ind w:left="1440"/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*Reason why guardianship is believed to be needed.  Have all other lesser restrictive options been tried?  </w:t>
      </w:r>
    </w:p>
    <w:p w14:paraId="4D07F22E" w14:textId="77777777" w:rsidR="00285531" w:rsidRPr="008842F6" w:rsidRDefault="00B61687" w:rsidP="00AA6200">
      <w:pPr>
        <w:ind w:left="1440"/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*Who will be the Guardian of Person/Estate?</w:t>
      </w:r>
    </w:p>
    <w:p w14:paraId="4D07F22F" w14:textId="77777777" w:rsidR="00B61687" w:rsidRPr="008842F6" w:rsidRDefault="00B61687" w:rsidP="00B61687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</w:p>
    <w:p w14:paraId="4D07F230" w14:textId="77777777" w:rsidR="00B61687" w:rsidRPr="008842F6" w:rsidRDefault="00AA6200" w:rsidP="00AA6200">
      <w:pPr>
        <w:pStyle w:val="ListParagraph"/>
        <w:numPr>
          <w:ilvl w:val="0"/>
          <w:numId w:val="1"/>
        </w:num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The AGP SW will staff the case during the AGP intake meeting. 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If the AGP social worker</w:t>
      </w:r>
      <w:r w:rsidR="0079609A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team 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agrees that a guardianship should be explored</w:t>
      </w:r>
      <w:r w:rsidR="0079609A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, the AGP SW who took the referral will email the following forms</w:t>
      </w:r>
      <w:r w:rsidR="00B61687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to the caller:</w:t>
      </w:r>
    </w:p>
    <w:p w14:paraId="4D07F231" w14:textId="77777777" w:rsidR="00B61687" w:rsidRPr="008842F6" w:rsidRDefault="00B61687" w:rsidP="00B61687">
      <w:pPr>
        <w:ind w:left="1440"/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*Community Referral Form</w:t>
      </w:r>
    </w:p>
    <w:p w14:paraId="4D07F232" w14:textId="77777777" w:rsidR="00B61687" w:rsidRPr="008842F6" w:rsidRDefault="00B61687" w:rsidP="00B61687">
      <w:pPr>
        <w:ind w:left="1440"/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* Examining Physician or Psychologist Report – MD </w:t>
      </w:r>
      <w:r w:rsidRPr="008842F6">
        <w:rPr>
          <w:rFonts w:ascii="Garamond" w:eastAsia="Times New Roman" w:hAnsi="Garamond"/>
          <w:b/>
          <w:sz w:val="26"/>
          <w:szCs w:val="26"/>
          <w:shd w:val="clear" w:color="auto" w:fill="FFFFFF"/>
        </w:rPr>
        <w:t>MUST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be willing to testify in Court</w:t>
      </w:r>
    </w:p>
    <w:p w14:paraId="4D07F233" w14:textId="77777777" w:rsidR="00735D4C" w:rsidRPr="008842F6" w:rsidRDefault="00735D4C" w:rsidP="0079609A">
      <w:pPr>
        <w:pStyle w:val="ListParagraph"/>
        <w:ind w:left="1440"/>
        <w:rPr>
          <w:rFonts w:ascii="Garamond" w:eastAsia="Times New Roman" w:hAnsi="Garamond"/>
          <w:sz w:val="26"/>
          <w:szCs w:val="26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*</w:t>
      </w:r>
      <w:r w:rsidR="0079609A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>Caller needs to submit a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</w:t>
      </w:r>
      <w:r w:rsidR="0079609A"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written narrative stating why a guardian of the person and/or estate is needed plus what less restrictive actions have been taken to permit this person to care for themselves without a guardian or protective placement.  If Protective Placement is also being requested, explain the reason it is necessary.  </w:t>
      </w: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The individual’s care plan or ISP is not needed at this time.  </w:t>
      </w:r>
    </w:p>
    <w:p w14:paraId="4D07F234" w14:textId="77777777" w:rsidR="00B61687" w:rsidRPr="008842F6" w:rsidRDefault="00B61687" w:rsidP="00B61687">
      <w:pPr>
        <w:rPr>
          <w:rFonts w:ascii="Garamond" w:eastAsia="Times New Roman" w:hAnsi="Garamond"/>
          <w:sz w:val="26"/>
          <w:szCs w:val="26"/>
          <w:shd w:val="clear" w:color="auto" w:fill="FFFFFF"/>
        </w:rPr>
      </w:pPr>
    </w:p>
    <w:p w14:paraId="4D07F235" w14:textId="77777777" w:rsidR="00B61687" w:rsidRPr="008842F6" w:rsidRDefault="00B61687" w:rsidP="00B61687">
      <w:pPr>
        <w:pStyle w:val="ListParagraph"/>
        <w:numPr>
          <w:ilvl w:val="0"/>
          <w:numId w:val="1"/>
        </w:numPr>
        <w:rPr>
          <w:rFonts w:ascii="Garamond" w:eastAsia="Times New Roman" w:hAnsi="Garamond"/>
          <w:sz w:val="26"/>
          <w:szCs w:val="26"/>
          <w:shd w:val="clear" w:color="auto" w:fill="FFFFFF"/>
        </w:rPr>
      </w:pPr>
      <w:r w:rsidRPr="008842F6">
        <w:rPr>
          <w:rFonts w:ascii="Garamond" w:eastAsia="Times New Roman" w:hAnsi="Garamond"/>
          <w:sz w:val="26"/>
          <w:szCs w:val="26"/>
          <w:shd w:val="clear" w:color="auto" w:fill="FFFFFF"/>
        </w:rPr>
        <w:t xml:space="preserve"> Upon completion of the forms they should be returned to :</w:t>
      </w:r>
    </w:p>
    <w:p w14:paraId="4D07F236" w14:textId="7EA985A0" w:rsidR="00B61687" w:rsidRPr="0079609A" w:rsidRDefault="00795ADD" w:rsidP="00795ADD">
      <w:pPr>
        <w:pStyle w:val="ListParagraph"/>
        <w:numPr>
          <w:ilvl w:val="0"/>
          <w:numId w:val="2"/>
        </w:numPr>
        <w:rPr>
          <w:rFonts w:ascii="Garamond" w:eastAsia="Times New Roman" w:hAnsi="Garamond"/>
          <w:sz w:val="26"/>
          <w:szCs w:val="26"/>
        </w:rPr>
      </w:pPr>
      <w:r>
        <w:rPr>
          <w:rFonts w:ascii="Garamond" w:eastAsia="Times New Roman" w:hAnsi="Garamond"/>
          <w:sz w:val="26"/>
          <w:szCs w:val="26"/>
        </w:rPr>
        <w:t>(Insert mailing address or email)</w:t>
      </w:r>
    </w:p>
    <w:p w14:paraId="4D07F237" w14:textId="77777777" w:rsidR="00875B5C" w:rsidRPr="0079609A" w:rsidRDefault="00875B5C" w:rsidP="00875B5C">
      <w:pPr>
        <w:rPr>
          <w:rFonts w:ascii="Garamond" w:hAnsi="Garamond"/>
          <w:sz w:val="26"/>
          <w:szCs w:val="26"/>
        </w:rPr>
      </w:pPr>
    </w:p>
    <w:sectPr w:rsidR="00875B5C" w:rsidRPr="0079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64D8"/>
    <w:multiLevelType w:val="hybridMultilevel"/>
    <w:tmpl w:val="2222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11D3"/>
    <w:multiLevelType w:val="hybridMultilevel"/>
    <w:tmpl w:val="411C484A"/>
    <w:lvl w:ilvl="0" w:tplc="1DF0C0C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8638016">
    <w:abstractNumId w:val="0"/>
  </w:num>
  <w:num w:numId="2" w16cid:durableId="181641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5C"/>
    <w:rsid w:val="000875B5"/>
    <w:rsid w:val="00173E3C"/>
    <w:rsid w:val="00285531"/>
    <w:rsid w:val="003438D2"/>
    <w:rsid w:val="0039479F"/>
    <w:rsid w:val="004A7063"/>
    <w:rsid w:val="005C2868"/>
    <w:rsid w:val="00667698"/>
    <w:rsid w:val="00735D4C"/>
    <w:rsid w:val="00795ADD"/>
    <w:rsid w:val="0079609A"/>
    <w:rsid w:val="00875B5C"/>
    <w:rsid w:val="008842F6"/>
    <w:rsid w:val="00891268"/>
    <w:rsid w:val="00A32C83"/>
    <w:rsid w:val="00A45B1E"/>
    <w:rsid w:val="00AA6200"/>
    <w:rsid w:val="00B61687"/>
    <w:rsid w:val="00D578C7"/>
    <w:rsid w:val="00D8466B"/>
    <w:rsid w:val="00D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F21E"/>
  <w15:docId w15:val="{DD76E229-8B21-4F43-AFDB-025F6B02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5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5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5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5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5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5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75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875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875B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875B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875B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875B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875B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875B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875B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875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875B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5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875B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875B5"/>
    <w:rPr>
      <w:b/>
      <w:bCs/>
    </w:rPr>
  </w:style>
  <w:style w:type="character" w:styleId="Emphasis">
    <w:name w:val="Emphasis"/>
    <w:uiPriority w:val="20"/>
    <w:qFormat/>
    <w:rsid w:val="000875B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875B5"/>
    <w:rPr>
      <w:szCs w:val="32"/>
    </w:rPr>
  </w:style>
  <w:style w:type="paragraph" w:styleId="ListParagraph">
    <w:name w:val="List Paragraph"/>
    <w:basedOn w:val="Normal"/>
    <w:uiPriority w:val="34"/>
    <w:qFormat/>
    <w:rsid w:val="000875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5B5"/>
    <w:rPr>
      <w:i/>
    </w:rPr>
  </w:style>
  <w:style w:type="character" w:customStyle="1" w:styleId="QuoteChar">
    <w:name w:val="Quote Char"/>
    <w:link w:val="Quote"/>
    <w:uiPriority w:val="29"/>
    <w:rsid w:val="000875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5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875B5"/>
    <w:rPr>
      <w:b/>
      <w:i/>
      <w:sz w:val="24"/>
    </w:rPr>
  </w:style>
  <w:style w:type="character" w:styleId="SubtleEmphasis">
    <w:name w:val="Subtle Emphasis"/>
    <w:uiPriority w:val="19"/>
    <w:qFormat/>
    <w:rsid w:val="000875B5"/>
    <w:rPr>
      <w:i/>
      <w:color w:val="5A5A5A"/>
    </w:rPr>
  </w:style>
  <w:style w:type="character" w:styleId="IntenseEmphasis">
    <w:name w:val="Intense Emphasis"/>
    <w:uiPriority w:val="21"/>
    <w:qFormat/>
    <w:rsid w:val="000875B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875B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875B5"/>
    <w:rPr>
      <w:b/>
      <w:sz w:val="24"/>
      <w:u w:val="single"/>
    </w:rPr>
  </w:style>
  <w:style w:type="character" w:styleId="BookTitle">
    <w:name w:val="Book Title"/>
    <w:uiPriority w:val="33"/>
    <w:qFormat/>
    <w:rsid w:val="000875B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5B5"/>
    <w:pPr>
      <w:outlineLvl w:val="9"/>
    </w:pPr>
  </w:style>
  <w:style w:type="paragraph" w:styleId="BodyText2">
    <w:name w:val="Body Text 2"/>
    <w:basedOn w:val="Normal"/>
    <w:link w:val="BodyText2Char"/>
    <w:semiHidden/>
    <w:rsid w:val="00875B5C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75B5C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535B0-C764-459B-ABBB-ECF675B11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D3401-437C-4207-9177-EE977C4D4DD9}">
  <ds:schemaRefs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AF4252-39D4-48DB-AC64-E80967ACA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Gray-Dorn, Shari</dc:creator>
  <cp:keywords/>
  <dc:description/>
  <cp:lastModifiedBy>Haight, Jennifer L - DHS (Jenny)</cp:lastModifiedBy>
  <cp:revision>11</cp:revision>
  <cp:lastPrinted>2016-10-26T15:33:00Z</cp:lastPrinted>
  <dcterms:created xsi:type="dcterms:W3CDTF">2014-05-21T13:01:00Z</dcterms:created>
  <dcterms:modified xsi:type="dcterms:W3CDTF">2024-02-22T22:14:00Z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