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68A3" w14:textId="77777777" w:rsidR="00373373" w:rsidRPr="00D1608F" w:rsidRDefault="009A18B7" w:rsidP="009A18B7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Hlk216167623"/>
      <w:r w:rsidRPr="00D1608F">
        <w:rPr>
          <w:rFonts w:ascii="Arial" w:hAnsi="Arial" w:cs="Arial"/>
          <w:b/>
          <w:sz w:val="18"/>
          <w:szCs w:val="18"/>
        </w:rPr>
        <w:t>DEPARTMENT OF HEALTH SERVICES</w:t>
      </w:r>
      <w:r w:rsidRPr="00D1608F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5296FC2C" w14:textId="77777777" w:rsidR="009A18B7" w:rsidRPr="00D1608F" w:rsidRDefault="009A18B7" w:rsidP="009A18B7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D1608F">
        <w:rPr>
          <w:rFonts w:ascii="Arial" w:hAnsi="Arial" w:cs="Arial"/>
          <w:sz w:val="18"/>
          <w:szCs w:val="18"/>
        </w:rPr>
        <w:t xml:space="preserve">Division of </w:t>
      </w:r>
      <w:r w:rsidR="00D1608F" w:rsidRPr="00D1608F">
        <w:rPr>
          <w:rFonts w:ascii="Arial" w:hAnsi="Arial" w:cs="Arial"/>
          <w:sz w:val="18"/>
          <w:szCs w:val="18"/>
        </w:rPr>
        <w:t>Medicaid Services</w:t>
      </w:r>
    </w:p>
    <w:p w14:paraId="0554FE5A" w14:textId="7D451DBC" w:rsidR="009A18B7" w:rsidRPr="00D1608F" w:rsidRDefault="009A18B7" w:rsidP="009A18B7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D1608F">
        <w:rPr>
          <w:rFonts w:ascii="Arial" w:hAnsi="Arial" w:cs="Arial"/>
          <w:sz w:val="18"/>
          <w:szCs w:val="18"/>
        </w:rPr>
        <w:t>F-</w:t>
      </w:r>
      <w:r w:rsidR="00877BDB" w:rsidRPr="00D1608F">
        <w:rPr>
          <w:rFonts w:ascii="Arial" w:hAnsi="Arial" w:cs="Arial"/>
          <w:sz w:val="18"/>
          <w:szCs w:val="18"/>
        </w:rPr>
        <w:t>00855A</w:t>
      </w:r>
      <w:r w:rsidRPr="00D1608F">
        <w:rPr>
          <w:rFonts w:ascii="Arial" w:hAnsi="Arial" w:cs="Arial"/>
          <w:sz w:val="18"/>
          <w:szCs w:val="18"/>
        </w:rPr>
        <w:t xml:space="preserve"> (</w:t>
      </w:r>
      <w:r w:rsidR="00501634">
        <w:rPr>
          <w:rFonts w:ascii="Arial" w:hAnsi="Arial" w:cs="Arial"/>
          <w:sz w:val="18"/>
          <w:szCs w:val="18"/>
        </w:rPr>
        <w:t>01</w:t>
      </w:r>
      <w:r w:rsidRPr="00D1608F">
        <w:rPr>
          <w:rFonts w:ascii="Arial" w:hAnsi="Arial" w:cs="Arial"/>
          <w:sz w:val="18"/>
          <w:szCs w:val="18"/>
        </w:rPr>
        <w:t>/</w:t>
      </w:r>
      <w:r w:rsidR="00D1608F" w:rsidRPr="00D1608F">
        <w:rPr>
          <w:rFonts w:ascii="Arial" w:hAnsi="Arial" w:cs="Arial"/>
          <w:sz w:val="18"/>
          <w:szCs w:val="18"/>
        </w:rPr>
        <w:t>202</w:t>
      </w:r>
      <w:r w:rsidR="00D30BF0">
        <w:rPr>
          <w:rFonts w:ascii="Arial" w:hAnsi="Arial" w:cs="Arial"/>
          <w:sz w:val="18"/>
          <w:szCs w:val="18"/>
        </w:rPr>
        <w:t>6</w:t>
      </w:r>
      <w:r w:rsidRPr="00D1608F">
        <w:rPr>
          <w:rFonts w:ascii="Arial" w:hAnsi="Arial" w:cs="Arial"/>
          <w:sz w:val="18"/>
          <w:szCs w:val="18"/>
        </w:rPr>
        <w:t>)</w:t>
      </w:r>
    </w:p>
    <w:p w14:paraId="28AE786C" w14:textId="77777777" w:rsidR="009A18B7" w:rsidRPr="00E4741C" w:rsidRDefault="009A18B7" w:rsidP="009A18B7">
      <w:pPr>
        <w:tabs>
          <w:tab w:val="right" w:pos="1080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84E83C7" w14:textId="77777777" w:rsidR="009A18B7" w:rsidRPr="00E4741C" w:rsidRDefault="009A18B7" w:rsidP="009A18B7">
      <w:pPr>
        <w:tabs>
          <w:tab w:val="right" w:pos="1080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741C">
        <w:rPr>
          <w:rFonts w:ascii="Arial" w:hAnsi="Arial" w:cs="Arial"/>
          <w:b/>
          <w:sz w:val="20"/>
          <w:szCs w:val="20"/>
        </w:rPr>
        <w:t>FORWARDHEALTH</w:t>
      </w:r>
    </w:p>
    <w:p w14:paraId="07223A25" w14:textId="77777777" w:rsidR="009A18B7" w:rsidRPr="00E4741C" w:rsidRDefault="009A18B7" w:rsidP="009A1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741C">
        <w:rPr>
          <w:rFonts w:ascii="Arial" w:hAnsi="Arial" w:cs="Arial"/>
          <w:b/>
          <w:sz w:val="24"/>
          <w:szCs w:val="24"/>
        </w:rPr>
        <w:t>MED</w:t>
      </w:r>
      <w:r w:rsidR="00F533DA" w:rsidRPr="00E4741C">
        <w:rPr>
          <w:rFonts w:ascii="Arial" w:hAnsi="Arial" w:cs="Arial"/>
          <w:b/>
          <w:sz w:val="24"/>
          <w:szCs w:val="24"/>
        </w:rPr>
        <w:t>ICATION THERAPY MANAGEMENT</w:t>
      </w:r>
      <w:r w:rsidRPr="00E4741C">
        <w:rPr>
          <w:rFonts w:ascii="Arial" w:hAnsi="Arial" w:cs="Arial"/>
          <w:b/>
          <w:sz w:val="24"/>
          <w:szCs w:val="24"/>
        </w:rPr>
        <w:t xml:space="preserve"> CASE MANAGEMENT SOFTWARE </w:t>
      </w:r>
    </w:p>
    <w:p w14:paraId="471D508B" w14:textId="77777777" w:rsidR="00E4741C" w:rsidRPr="00E4741C" w:rsidRDefault="00E4741C" w:rsidP="009A1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741C">
        <w:rPr>
          <w:rFonts w:ascii="Arial" w:hAnsi="Arial" w:cs="Arial"/>
          <w:b/>
          <w:sz w:val="24"/>
          <w:szCs w:val="24"/>
        </w:rPr>
        <w:t>VENDOR STEPS FOR SOFTWARE APPROVAL PROCESS</w:t>
      </w:r>
    </w:p>
    <w:p w14:paraId="4AA7B9B0" w14:textId="77777777" w:rsidR="009A18B7" w:rsidRPr="00D1608F" w:rsidRDefault="009A18B7" w:rsidP="009A18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8B82EF" w14:textId="77777777" w:rsidR="00DB4406" w:rsidRPr="00D1608F" w:rsidRDefault="00A5545C" w:rsidP="00DB4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608F">
        <w:rPr>
          <w:rFonts w:ascii="Arial" w:hAnsi="Arial" w:cs="Arial"/>
          <w:b/>
          <w:sz w:val="20"/>
          <w:szCs w:val="20"/>
        </w:rPr>
        <w:t xml:space="preserve">Instructions: </w:t>
      </w:r>
      <w:r w:rsidRPr="00D1608F">
        <w:rPr>
          <w:rFonts w:ascii="Arial" w:hAnsi="Arial" w:cs="Arial"/>
          <w:sz w:val="20"/>
          <w:szCs w:val="20"/>
        </w:rPr>
        <w:t xml:space="preserve">Print or type clearly. </w:t>
      </w:r>
      <w:r w:rsidR="00EC2E5B" w:rsidRPr="00D1608F">
        <w:rPr>
          <w:rFonts w:ascii="Arial" w:hAnsi="Arial" w:cs="Arial"/>
          <w:sz w:val="20"/>
          <w:szCs w:val="20"/>
        </w:rPr>
        <w:t>Vendors</w:t>
      </w:r>
      <w:r w:rsidRPr="00D1608F">
        <w:rPr>
          <w:rFonts w:ascii="Arial" w:hAnsi="Arial" w:cs="Arial"/>
          <w:sz w:val="20"/>
          <w:szCs w:val="20"/>
        </w:rPr>
        <w:t xml:space="preserve"> should affirm that the requirements below have been met by checking the box next to each item. </w:t>
      </w:r>
      <w:r w:rsidR="00DB4406" w:rsidRPr="00D1608F">
        <w:rPr>
          <w:rFonts w:ascii="Arial" w:hAnsi="Arial" w:cs="Arial"/>
          <w:sz w:val="20"/>
          <w:szCs w:val="20"/>
        </w:rPr>
        <w:t xml:space="preserve">Completed documents </w:t>
      </w:r>
      <w:r w:rsidR="00C1438D" w:rsidRPr="00D1608F">
        <w:rPr>
          <w:rFonts w:ascii="Arial" w:hAnsi="Arial" w:cs="Arial"/>
          <w:sz w:val="20"/>
          <w:szCs w:val="20"/>
        </w:rPr>
        <w:t xml:space="preserve">detailed in this checklist </w:t>
      </w:r>
      <w:r w:rsidR="00DB4406" w:rsidRPr="00D1608F">
        <w:rPr>
          <w:rFonts w:ascii="Arial" w:hAnsi="Arial" w:cs="Arial"/>
          <w:sz w:val="20"/>
          <w:szCs w:val="20"/>
        </w:rPr>
        <w:t>may be submitted to the following address:</w:t>
      </w:r>
    </w:p>
    <w:p w14:paraId="462AD72D" w14:textId="77777777" w:rsidR="00DB4406" w:rsidRPr="00D1608F" w:rsidRDefault="00DB4406" w:rsidP="00DB44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8DB6B5" w14:textId="77777777" w:rsidR="00DB4406" w:rsidRPr="00D1608F" w:rsidRDefault="00DB4406" w:rsidP="00DB440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D1608F">
        <w:rPr>
          <w:rFonts w:ascii="Arial" w:hAnsi="Arial" w:cs="Arial"/>
          <w:sz w:val="20"/>
          <w:szCs w:val="20"/>
        </w:rPr>
        <w:t>Medication Therapy Management Project Lead</w:t>
      </w:r>
    </w:p>
    <w:p w14:paraId="7BA72407" w14:textId="77777777" w:rsidR="00DB4406" w:rsidRPr="00D1608F" w:rsidRDefault="00DB4406" w:rsidP="00DB440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D1608F">
        <w:rPr>
          <w:rFonts w:ascii="Arial" w:hAnsi="Arial" w:cs="Arial"/>
          <w:sz w:val="20"/>
          <w:szCs w:val="20"/>
        </w:rPr>
        <w:t>Wisconsin Department of Health Services</w:t>
      </w:r>
    </w:p>
    <w:p w14:paraId="561E1E7F" w14:textId="2C18E3B4" w:rsidR="00DB4406" w:rsidRDefault="00D1608F" w:rsidP="00DB440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 E Washington Ave Rm B300</w:t>
      </w:r>
    </w:p>
    <w:p w14:paraId="5C84D503" w14:textId="77777777" w:rsidR="00DB4406" w:rsidRPr="00D1608F" w:rsidRDefault="00DB4406" w:rsidP="00DB440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D1608F">
        <w:rPr>
          <w:rFonts w:ascii="Arial" w:hAnsi="Arial" w:cs="Arial"/>
          <w:sz w:val="20"/>
          <w:szCs w:val="20"/>
        </w:rPr>
        <w:t xml:space="preserve">PO Box 309 </w:t>
      </w:r>
    </w:p>
    <w:p w14:paraId="6EECBCFD" w14:textId="77777777" w:rsidR="00A5545C" w:rsidRPr="00D1608F" w:rsidRDefault="00DB4406" w:rsidP="00DB440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D1608F">
        <w:rPr>
          <w:rFonts w:ascii="Arial" w:hAnsi="Arial" w:cs="Arial"/>
          <w:sz w:val="20"/>
          <w:szCs w:val="20"/>
        </w:rPr>
        <w:t>Madison WI  53701-0309</w:t>
      </w:r>
    </w:p>
    <w:p w14:paraId="0B1B1B24" w14:textId="77777777" w:rsidR="00A5545C" w:rsidRPr="00D1608F" w:rsidRDefault="00A5545C" w:rsidP="00A5545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5545C" w:rsidRPr="00D1608F" w14:paraId="10D89311" w14:textId="77777777" w:rsidTr="00D1608F">
        <w:trPr>
          <w:trHeight w:val="864"/>
        </w:trPr>
        <w:tc>
          <w:tcPr>
            <w:tcW w:w="11016" w:type="dxa"/>
            <w:vAlign w:val="center"/>
          </w:tcPr>
          <w:p w14:paraId="29ECF6D7" w14:textId="77777777" w:rsidR="00A5545C" w:rsidRPr="00D1608F" w:rsidRDefault="00A5545C" w:rsidP="00D557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608F">
              <w:rPr>
                <w:rFonts w:ascii="Arial" w:hAnsi="Arial" w:cs="Arial"/>
                <w:b/>
                <w:sz w:val="20"/>
                <w:szCs w:val="20"/>
              </w:rPr>
              <w:t>Steps for Medication Therapy Management Case Management Software</w:t>
            </w:r>
            <w:r w:rsidR="00910DC3" w:rsidRPr="00D1608F">
              <w:rPr>
                <w:rFonts w:ascii="Arial" w:hAnsi="Arial" w:cs="Arial"/>
                <w:b/>
                <w:sz w:val="20"/>
                <w:szCs w:val="20"/>
              </w:rPr>
              <w:t xml:space="preserve"> Vendor</w:t>
            </w:r>
            <w:r w:rsidRPr="00D1608F">
              <w:rPr>
                <w:rFonts w:ascii="Arial" w:hAnsi="Arial" w:cs="Arial"/>
                <w:b/>
                <w:sz w:val="20"/>
                <w:szCs w:val="20"/>
              </w:rPr>
              <w:t xml:space="preserve"> to Be Approved</w:t>
            </w:r>
          </w:p>
          <w:p w14:paraId="02C669E1" w14:textId="77777777" w:rsidR="00A5545C" w:rsidRPr="00D1608F" w:rsidRDefault="00A5545C" w:rsidP="00910D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608F">
              <w:rPr>
                <w:rFonts w:ascii="Arial" w:hAnsi="Arial" w:cs="Arial"/>
                <w:sz w:val="20"/>
                <w:szCs w:val="20"/>
              </w:rPr>
              <w:t>In order for the Medic</w:t>
            </w:r>
            <w:r w:rsidR="00271861" w:rsidRPr="00D1608F">
              <w:rPr>
                <w:rFonts w:ascii="Arial" w:hAnsi="Arial" w:cs="Arial"/>
                <w:sz w:val="20"/>
                <w:szCs w:val="20"/>
              </w:rPr>
              <w:t>ation Therapy Management (MTM) case management s</w:t>
            </w:r>
            <w:r w:rsidRPr="00D1608F">
              <w:rPr>
                <w:rFonts w:ascii="Arial" w:hAnsi="Arial" w:cs="Arial"/>
                <w:sz w:val="20"/>
                <w:szCs w:val="20"/>
              </w:rPr>
              <w:t>oftware to be approved, the vendor must perform the following actions</w:t>
            </w:r>
            <w:r w:rsidR="00537621" w:rsidRPr="00D160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545C" w:rsidRPr="00D1608F" w14:paraId="7CD331E7" w14:textId="77777777" w:rsidTr="002A74FA">
        <w:trPr>
          <w:trHeight w:val="1008"/>
        </w:trPr>
        <w:tc>
          <w:tcPr>
            <w:tcW w:w="11016" w:type="dxa"/>
          </w:tcPr>
          <w:p w14:paraId="5F8E9ABD" w14:textId="1ABAAF79" w:rsidR="00A5545C" w:rsidRPr="00D1608F" w:rsidRDefault="00362DA4" w:rsidP="002A74FA">
            <w:pPr>
              <w:tabs>
                <w:tab w:val="left" w:pos="360"/>
              </w:tabs>
              <w:spacing w:after="0" w:line="240" w:lineRule="auto"/>
              <w:ind w:left="630" w:hanging="630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bookmarkEnd w:id="1"/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A5545C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1. </w:t>
            </w:r>
            <w:r w:rsidR="005512A6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06E0D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Complete the </w:t>
            </w:r>
            <w:r w:rsidR="00347024" w:rsidRPr="00D1608F">
              <w:rPr>
                <w:rFonts w:ascii="Arial" w:hAnsi="Arial" w:cs="Arial"/>
                <w:snapToGrid w:val="0"/>
                <w:sz w:val="20"/>
                <w:szCs w:val="20"/>
              </w:rPr>
              <w:t>Medication Therapy Management Case Management Software</w:t>
            </w:r>
            <w:r w:rsidR="00A5545C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Requirements</w:t>
            </w:r>
            <w:r w:rsidR="00347024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checklist, F-</w:t>
            </w:r>
            <w:r w:rsidR="00877BDB" w:rsidRPr="00D1608F">
              <w:rPr>
                <w:rFonts w:ascii="Arial" w:hAnsi="Arial" w:cs="Arial"/>
                <w:snapToGrid w:val="0"/>
                <w:sz w:val="20"/>
                <w:szCs w:val="20"/>
              </w:rPr>
              <w:t>00855</w:t>
            </w:r>
            <w:r w:rsidR="00347024" w:rsidRPr="00D1608F">
              <w:rPr>
                <w:rFonts w:ascii="Arial" w:hAnsi="Arial" w:cs="Arial"/>
                <w:snapToGrid w:val="0"/>
                <w:sz w:val="20"/>
                <w:szCs w:val="20"/>
              </w:rPr>
              <w:t>,</w:t>
            </w:r>
            <w:r w:rsidR="00306E0D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and send </w:t>
            </w:r>
            <w:r w:rsidR="00347024" w:rsidRPr="00D1608F">
              <w:rPr>
                <w:rFonts w:ascii="Arial" w:hAnsi="Arial" w:cs="Arial"/>
                <w:snapToGrid w:val="0"/>
                <w:sz w:val="20"/>
                <w:szCs w:val="20"/>
              </w:rPr>
              <w:t>it</w:t>
            </w:r>
            <w:r w:rsidR="00306E0D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to </w:t>
            </w:r>
            <w:r w:rsidR="000C7166">
              <w:rPr>
                <w:rFonts w:ascii="Arial" w:hAnsi="Arial" w:cs="Arial"/>
                <w:snapToGrid w:val="0"/>
                <w:sz w:val="20"/>
                <w:szCs w:val="20"/>
              </w:rPr>
              <w:t xml:space="preserve">the Wisconsin </w:t>
            </w:r>
            <w:r w:rsidR="00E41A00" w:rsidRPr="00D1608F">
              <w:rPr>
                <w:rFonts w:ascii="Arial" w:hAnsi="Arial" w:cs="Arial"/>
                <w:snapToGrid w:val="0"/>
                <w:sz w:val="20"/>
                <w:szCs w:val="20"/>
              </w:rPr>
              <w:t>Department of Health Services (</w:t>
            </w:r>
            <w:r w:rsidR="00306E0D" w:rsidRPr="00D1608F">
              <w:rPr>
                <w:rFonts w:ascii="Arial" w:hAnsi="Arial" w:cs="Arial"/>
                <w:snapToGrid w:val="0"/>
                <w:sz w:val="20"/>
                <w:szCs w:val="20"/>
              </w:rPr>
              <w:t>DHS</w:t>
            </w:r>
            <w:r w:rsidR="00E41A00" w:rsidRPr="00D1608F">
              <w:rPr>
                <w:rFonts w:ascii="Arial" w:hAnsi="Arial" w:cs="Arial"/>
                <w:snapToGrid w:val="0"/>
                <w:sz w:val="20"/>
                <w:szCs w:val="20"/>
              </w:rPr>
              <w:t>)</w:t>
            </w:r>
            <w:r w:rsidR="00306E0D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at the address above</w:t>
            </w:r>
            <w:r w:rsidR="00A5545C" w:rsidRPr="00D1608F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  <w:r w:rsidR="003D2B46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D2B46" w:rsidRPr="00D1608F">
              <w:rPr>
                <w:rFonts w:ascii="Arial" w:hAnsi="Arial" w:cs="Arial"/>
                <w:snapToGrid w:val="0"/>
                <w:sz w:val="20"/>
                <w:szCs w:val="20"/>
              </w:rPr>
              <w:t>DHS will review the responses. If the responses are acceptable, DHS will send the Business Associate Agreement (BAA) and Trading Partner Agreement to the vendor.</w:t>
            </w:r>
          </w:p>
        </w:tc>
      </w:tr>
      <w:tr w:rsidR="00A5545C" w:rsidRPr="00D1608F" w14:paraId="07D92122" w14:textId="77777777" w:rsidTr="002A74FA">
        <w:trPr>
          <w:trHeight w:val="360"/>
        </w:trPr>
        <w:tc>
          <w:tcPr>
            <w:tcW w:w="11016" w:type="dxa"/>
            <w:vAlign w:val="center"/>
          </w:tcPr>
          <w:p w14:paraId="4D2E64AD" w14:textId="6C27DFCD" w:rsidR="00A5545C" w:rsidRPr="00D1608F" w:rsidRDefault="00362DA4" w:rsidP="00271861">
            <w:pPr>
              <w:tabs>
                <w:tab w:val="left" w:pos="360"/>
              </w:tabs>
              <w:spacing w:after="0" w:line="240" w:lineRule="auto"/>
              <w:ind w:left="630" w:hanging="630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A5545C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2. </w:t>
            </w:r>
            <w:r w:rsidR="005512A6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3D2B46">
              <w:rPr>
                <w:rFonts w:ascii="Arial" w:hAnsi="Arial" w:cs="Arial"/>
                <w:snapToGrid w:val="0"/>
                <w:sz w:val="20"/>
                <w:szCs w:val="20"/>
              </w:rPr>
              <w:t>S</w:t>
            </w:r>
            <w:r w:rsidR="00E41A00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ign the BAA and Trading Partner </w:t>
            </w:r>
            <w:proofErr w:type="gramStart"/>
            <w:r w:rsidR="00E41A00" w:rsidRPr="00D1608F">
              <w:rPr>
                <w:rFonts w:ascii="Arial" w:hAnsi="Arial" w:cs="Arial"/>
                <w:snapToGrid w:val="0"/>
                <w:sz w:val="20"/>
                <w:szCs w:val="20"/>
              </w:rPr>
              <w:t>Agreement</w:t>
            </w:r>
            <w:r w:rsidR="00EA0144">
              <w:rPr>
                <w:rFonts w:ascii="Arial" w:hAnsi="Arial" w:cs="Arial"/>
                <w:snapToGrid w:val="0"/>
                <w:sz w:val="20"/>
                <w:szCs w:val="20"/>
              </w:rPr>
              <w:t>,</w:t>
            </w:r>
            <w:r w:rsidR="00E41A00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and</w:t>
            </w:r>
            <w:proofErr w:type="gramEnd"/>
            <w:r w:rsidR="00E41A00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send the documents to DHS at the previously listed address.</w:t>
            </w:r>
          </w:p>
        </w:tc>
      </w:tr>
      <w:tr w:rsidR="00A5545C" w:rsidRPr="00D1608F" w14:paraId="2CF603A9" w14:textId="77777777" w:rsidTr="00FD3DAF">
        <w:trPr>
          <w:trHeight w:val="792"/>
        </w:trPr>
        <w:tc>
          <w:tcPr>
            <w:tcW w:w="11016" w:type="dxa"/>
            <w:vAlign w:val="center"/>
          </w:tcPr>
          <w:p w14:paraId="2FD8D87D" w14:textId="28DD8B43" w:rsidR="00A5545C" w:rsidRPr="00D1608F" w:rsidRDefault="00362DA4" w:rsidP="00271861">
            <w:pPr>
              <w:tabs>
                <w:tab w:val="left" w:pos="360"/>
              </w:tabs>
              <w:spacing w:after="0" w:line="240" w:lineRule="auto"/>
              <w:ind w:left="630" w:hanging="630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A5545C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3. </w:t>
            </w:r>
            <w:r w:rsidR="005512A6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A5545C" w:rsidRPr="00D1608F">
              <w:rPr>
                <w:rFonts w:ascii="Arial" w:hAnsi="Arial" w:cs="Arial"/>
                <w:snapToGrid w:val="0"/>
                <w:sz w:val="20"/>
                <w:szCs w:val="20"/>
              </w:rPr>
              <w:t>Complete the standard Trading Partner Profile</w:t>
            </w:r>
            <w:r w:rsidR="003D2B46">
              <w:rPr>
                <w:rFonts w:ascii="Arial" w:hAnsi="Arial" w:cs="Arial"/>
                <w:snapToGrid w:val="0"/>
                <w:sz w:val="20"/>
                <w:szCs w:val="20"/>
              </w:rPr>
              <w:t>,</w:t>
            </w:r>
            <w:r w:rsidR="00541F8C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which can be accessed using the Trading Partner Profile link in the Trading Partners box on the right side of the ForwardHealth Portal</w:t>
            </w:r>
            <w:r w:rsidR="002A74FA">
              <w:rPr>
                <w:rFonts w:ascii="Arial" w:hAnsi="Arial" w:cs="Arial"/>
                <w:snapToGrid w:val="0"/>
                <w:sz w:val="20"/>
                <w:szCs w:val="20"/>
              </w:rPr>
              <w:t xml:space="preserve"> (the Portal)</w:t>
            </w:r>
            <w:r w:rsidR="00541F8C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homepage at</w:t>
            </w:r>
            <w:r w:rsidR="005E34B7">
              <w:rPr>
                <w:rFonts w:ascii="Arial" w:hAnsi="Arial" w:cs="Arial"/>
                <w:iCs/>
                <w:snapToGrid w:val="0"/>
                <w:sz w:val="20"/>
                <w:szCs w:val="20"/>
              </w:rPr>
              <w:t xml:space="preserve"> </w:t>
            </w:r>
            <w:hyperlink r:id="rId5" w:history="1">
              <w:r w:rsidR="00541F8C" w:rsidRPr="00115825">
                <w:rPr>
                  <w:rStyle w:val="Hyperlink"/>
                  <w:rFonts w:ascii="Arial" w:hAnsi="Arial" w:cs="Arial"/>
                  <w:iCs/>
                  <w:snapToGrid w:val="0"/>
                  <w:sz w:val="20"/>
                  <w:szCs w:val="20"/>
                </w:rPr>
                <w:t>forwardhealth.wi.gov</w:t>
              </w:r>
            </w:hyperlink>
            <w:r w:rsidR="00A5545C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. A PIN will be sent in the mail. </w:t>
            </w:r>
          </w:p>
        </w:tc>
      </w:tr>
      <w:tr w:rsidR="00A5545C" w:rsidRPr="00D1608F" w14:paraId="4A58421E" w14:textId="77777777" w:rsidTr="00FD3DAF">
        <w:trPr>
          <w:trHeight w:val="504"/>
        </w:trPr>
        <w:tc>
          <w:tcPr>
            <w:tcW w:w="11016" w:type="dxa"/>
            <w:vAlign w:val="center"/>
          </w:tcPr>
          <w:p w14:paraId="74F73279" w14:textId="30D14A0C" w:rsidR="00A5545C" w:rsidRPr="00D1608F" w:rsidRDefault="00362DA4" w:rsidP="00271861">
            <w:pPr>
              <w:tabs>
                <w:tab w:val="left" w:pos="360"/>
              </w:tabs>
              <w:spacing w:after="0" w:line="240" w:lineRule="auto"/>
              <w:ind w:left="630" w:hanging="630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A5545C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4. </w:t>
            </w:r>
            <w:r w:rsidR="005512A6" w:rsidRPr="00D1608F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A5545C" w:rsidRPr="00D1608F">
              <w:rPr>
                <w:rFonts w:ascii="Arial" w:hAnsi="Arial" w:cs="Arial"/>
                <w:snapToGrid w:val="0"/>
                <w:sz w:val="20"/>
                <w:szCs w:val="20"/>
              </w:rPr>
              <w:t>Complete Portal set up by clicking the Logging in for the First Time link in the Trading Partner Log-in: box on the Trading Partner page of the Portal.</w:t>
            </w:r>
          </w:p>
        </w:tc>
      </w:tr>
      <w:tr w:rsidR="00A5545C" w:rsidRPr="00D1608F" w14:paraId="4C211096" w14:textId="77777777" w:rsidTr="00FD3DAF">
        <w:trPr>
          <w:cantSplit/>
          <w:trHeight w:val="360"/>
        </w:trPr>
        <w:tc>
          <w:tcPr>
            <w:tcW w:w="11016" w:type="dxa"/>
            <w:vAlign w:val="center"/>
          </w:tcPr>
          <w:p w14:paraId="36ED63F9" w14:textId="31DF181E" w:rsidR="00A5545C" w:rsidRPr="00D1608F" w:rsidRDefault="00362DA4" w:rsidP="00D5572F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5512A6" w:rsidRPr="00D160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Create a username</w:t>
            </w:r>
            <w:r w:rsidR="003D2B4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 password, </w:t>
            </w:r>
            <w:r w:rsidR="001717AA">
              <w:rPr>
                <w:rFonts w:ascii="Arial" w:hAnsi="Arial" w:cs="Arial"/>
                <w:sz w:val="20"/>
                <w:szCs w:val="20"/>
              </w:rPr>
              <w:t>then</w:t>
            </w:r>
            <w:r w:rsidR="001717AA" w:rsidRPr="00D160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B46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security questions and answers. </w:t>
            </w:r>
          </w:p>
        </w:tc>
      </w:tr>
      <w:tr w:rsidR="00A5545C" w:rsidRPr="00D1608F" w14:paraId="55CA8FED" w14:textId="77777777" w:rsidTr="00FD3DAF">
        <w:trPr>
          <w:cantSplit/>
          <w:trHeight w:val="360"/>
        </w:trPr>
        <w:tc>
          <w:tcPr>
            <w:tcW w:w="11016" w:type="dxa"/>
            <w:vAlign w:val="center"/>
          </w:tcPr>
          <w:p w14:paraId="2B862F1F" w14:textId="47DB1AAB" w:rsidR="00A5545C" w:rsidRPr="00D1608F" w:rsidRDefault="00362DA4" w:rsidP="005A4C32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5A4C32" w:rsidRPr="00D1608F">
              <w:rPr>
                <w:rFonts w:ascii="Arial" w:hAnsi="Arial" w:cs="Arial"/>
                <w:snapToGrid w:val="0"/>
                <w:sz w:val="20"/>
                <w:szCs w:val="20"/>
              </w:rPr>
              <w:t>6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12A6" w:rsidRPr="00D160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C32" w:rsidRPr="00D1608F">
              <w:rPr>
                <w:rFonts w:ascii="Arial" w:hAnsi="Arial" w:cs="Arial"/>
                <w:sz w:val="20"/>
                <w:szCs w:val="20"/>
              </w:rPr>
              <w:t>Send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 at least two verified positive references</w:t>
            </w:r>
            <w:r w:rsidR="005A4C32" w:rsidRPr="00D1608F">
              <w:rPr>
                <w:rFonts w:ascii="Arial" w:hAnsi="Arial" w:cs="Arial"/>
                <w:sz w:val="20"/>
                <w:szCs w:val="20"/>
              </w:rPr>
              <w:t xml:space="preserve"> to DHS at the previously listed address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545C" w:rsidRPr="00D1608F" w14:paraId="1CDD98C5" w14:textId="77777777" w:rsidTr="00FD3DAF">
        <w:trPr>
          <w:trHeight w:val="3168"/>
        </w:trPr>
        <w:tc>
          <w:tcPr>
            <w:tcW w:w="11016" w:type="dxa"/>
            <w:vAlign w:val="center"/>
          </w:tcPr>
          <w:p w14:paraId="570064DE" w14:textId="42CDDD5B" w:rsidR="00A5545C" w:rsidRPr="00D1608F" w:rsidRDefault="00362DA4" w:rsidP="00115825">
            <w:pPr>
              <w:tabs>
                <w:tab w:val="left" w:pos="360"/>
              </w:tabs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5A4C32" w:rsidRPr="00D1608F">
              <w:rPr>
                <w:rFonts w:ascii="Arial" w:hAnsi="Arial" w:cs="Arial"/>
                <w:sz w:val="20"/>
                <w:szCs w:val="20"/>
              </w:rPr>
              <w:t>7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12A6" w:rsidRPr="00D160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Pass User Acceptance Testing (UAT), which will include the following:</w:t>
            </w:r>
          </w:p>
          <w:p w14:paraId="452A7675" w14:textId="35C27190" w:rsidR="00A5545C" w:rsidRPr="00D1608F" w:rsidRDefault="00362DA4" w:rsidP="00115825">
            <w:pPr>
              <w:tabs>
                <w:tab w:val="left" w:pos="360"/>
                <w:tab w:val="left" w:pos="720"/>
              </w:tabs>
              <w:spacing w:after="60" w:line="240" w:lineRule="auto"/>
              <w:ind w:left="936" w:hanging="5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a. When the vendor’s decision support software is applied to a test group of members, the software identifies at least 85</w:t>
            </w:r>
            <w:r w:rsidR="00BE004F">
              <w:rPr>
                <w:rFonts w:ascii="Arial" w:hAnsi="Arial" w:cs="Arial"/>
                <w:sz w:val="20"/>
                <w:szCs w:val="20"/>
              </w:rPr>
              <w:t>%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 of members </w:t>
            </w:r>
            <w:r w:rsidR="00D34427" w:rsidRPr="00D1608F">
              <w:rPr>
                <w:rFonts w:ascii="Arial" w:hAnsi="Arial" w:cs="Arial"/>
                <w:sz w:val="20"/>
                <w:szCs w:val="20"/>
              </w:rPr>
              <w:t xml:space="preserve">DHS believes are 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eligible for a Comprehensive Medication Review and Assessments (CMR/A)</w:t>
            </w:r>
            <w:r w:rsidR="00D34427" w:rsidRPr="00D1608F">
              <w:rPr>
                <w:rFonts w:ascii="Arial" w:hAnsi="Arial" w:cs="Arial"/>
                <w:sz w:val="20"/>
                <w:szCs w:val="20"/>
              </w:rPr>
              <w:t>.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0F503B" w14:textId="23CFA68D" w:rsidR="00A5545C" w:rsidRPr="00D1608F" w:rsidRDefault="00362DA4" w:rsidP="00115825">
            <w:pPr>
              <w:tabs>
                <w:tab w:val="left" w:pos="360"/>
                <w:tab w:val="left" w:pos="720"/>
              </w:tabs>
              <w:spacing w:after="60" w:line="240" w:lineRule="auto"/>
              <w:ind w:left="936" w:hanging="5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b. Software can re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>tri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eve claims information 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 xml:space="preserve">(data dictionary/layout will be provided) 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Secured File Transfer Protocol (SFTP) server.</w:t>
            </w:r>
          </w:p>
          <w:p w14:paraId="2B85A63A" w14:textId="43A8E5DE" w:rsidR="00A5545C" w:rsidRPr="00D1608F" w:rsidRDefault="00362DA4" w:rsidP="00115825">
            <w:pPr>
              <w:tabs>
                <w:tab w:val="left" w:pos="360"/>
                <w:tab w:val="left" w:pos="720"/>
              </w:tabs>
              <w:spacing w:after="60" w:line="240" w:lineRule="auto"/>
              <w:ind w:left="936" w:hanging="5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c. Software can send </w:t>
            </w:r>
            <w:r w:rsidR="00E46612" w:rsidRPr="00D1608F">
              <w:rPr>
                <w:rFonts w:ascii="Arial" w:hAnsi="Arial" w:cs="Arial"/>
                <w:sz w:val="20"/>
                <w:szCs w:val="20"/>
              </w:rPr>
              <w:t>Health Insurance Portability and Accountability Act</w:t>
            </w:r>
            <w:r w:rsidR="00750081" w:rsidRPr="00D1608F">
              <w:rPr>
                <w:rFonts w:ascii="Arial" w:hAnsi="Arial" w:cs="Arial"/>
                <w:sz w:val="20"/>
                <w:szCs w:val="20"/>
              </w:rPr>
              <w:t xml:space="preserve"> of 1996</w:t>
            </w:r>
            <w:r w:rsidR="00D34427" w:rsidRPr="00D1608F">
              <w:rPr>
                <w:rFonts w:ascii="Arial" w:hAnsi="Arial" w:cs="Arial"/>
                <w:sz w:val="20"/>
                <w:szCs w:val="20"/>
              </w:rPr>
              <w:t xml:space="preserve"> (HIPAA)</w:t>
            </w:r>
            <w:r w:rsidR="00E46612" w:rsidRPr="00D1608F">
              <w:rPr>
                <w:rFonts w:ascii="Arial" w:hAnsi="Arial" w:cs="Arial"/>
                <w:sz w:val="20"/>
                <w:szCs w:val="20"/>
              </w:rPr>
              <w:t xml:space="preserve">-compliant 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professional claims to ForwardHealth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 xml:space="preserve"> for processing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46BACA" w14:textId="011DA7C6" w:rsidR="00A5545C" w:rsidRPr="00D1608F" w:rsidRDefault="00362DA4" w:rsidP="00115825">
            <w:pPr>
              <w:tabs>
                <w:tab w:val="left" w:pos="360"/>
                <w:tab w:val="left" w:pos="720"/>
              </w:tabs>
              <w:spacing w:after="60" w:line="240" w:lineRule="auto"/>
              <w:ind w:left="936" w:hanging="5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d. Software can capture the documentation on the MTM service provided and send this information to ForwardHealth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 xml:space="preserve"> (data dictionary/layout will be provided)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78A84E" w14:textId="1FFD572A" w:rsidR="00A5545C" w:rsidRPr="00D1608F" w:rsidRDefault="00362DA4" w:rsidP="00115825">
            <w:pPr>
              <w:tabs>
                <w:tab w:val="left" w:pos="360"/>
                <w:tab w:val="left" w:pos="720"/>
              </w:tabs>
              <w:spacing w:after="60" w:line="240" w:lineRule="auto"/>
              <w:ind w:left="936" w:hanging="5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e. </w:t>
            </w:r>
            <w:r w:rsidR="00594335" w:rsidRPr="00D1608F">
              <w:rPr>
                <w:rFonts w:ascii="Arial" w:hAnsi="Arial" w:cs="Arial"/>
                <w:sz w:val="20"/>
                <w:szCs w:val="20"/>
              </w:rPr>
              <w:t xml:space="preserve">If enabled with Direct Secure Messaging </w:t>
            </w:r>
            <w:r w:rsidR="00BD4367" w:rsidRPr="00D1608F">
              <w:rPr>
                <w:rFonts w:ascii="Arial" w:hAnsi="Arial" w:cs="Arial"/>
                <w:sz w:val="20"/>
                <w:szCs w:val="20"/>
              </w:rPr>
              <w:t>or another HIPAA-compliant secure electronic messaging system</w:t>
            </w:r>
            <w:r w:rsidR="00594335" w:rsidRPr="00D1608F">
              <w:rPr>
                <w:rFonts w:ascii="Arial" w:hAnsi="Arial" w:cs="Arial"/>
                <w:sz w:val="20"/>
                <w:szCs w:val="20"/>
              </w:rPr>
              <w:t>, s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oftware can send and receive </w:t>
            </w:r>
            <w:r w:rsidR="00BD4367" w:rsidRPr="00D1608F">
              <w:rPr>
                <w:rFonts w:ascii="Arial" w:hAnsi="Arial" w:cs="Arial"/>
                <w:sz w:val="20"/>
                <w:szCs w:val="20"/>
              </w:rPr>
              <w:t>messages through this system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545C" w:rsidRPr="00D1608F" w14:paraId="6D7EF195" w14:textId="77777777" w:rsidTr="00FD3DAF">
        <w:trPr>
          <w:trHeight w:val="576"/>
        </w:trPr>
        <w:tc>
          <w:tcPr>
            <w:tcW w:w="11016" w:type="dxa"/>
            <w:vAlign w:val="center"/>
          </w:tcPr>
          <w:p w14:paraId="7C3A8EA3" w14:textId="56C7465A" w:rsidR="00A5545C" w:rsidRPr="00D1608F" w:rsidRDefault="00362DA4" w:rsidP="00115825">
            <w:pPr>
              <w:tabs>
                <w:tab w:val="left" w:pos="360"/>
                <w:tab w:val="left" w:pos="810"/>
              </w:tabs>
              <w:spacing w:after="0" w:line="240" w:lineRule="auto"/>
              <w:ind w:left="634" w:hanging="6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>
              <w:rPr>
                <w:rFonts w:ascii="Wingdings" w:hAnsi="Wingdings"/>
                <w:snapToGrid w:val="0"/>
                <w:sz w:val="24"/>
                <w:szCs w:val="24"/>
              </w:rPr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45C" w:rsidRPr="00D1608F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5A4C32" w:rsidRPr="00D1608F">
              <w:rPr>
                <w:rFonts w:ascii="Arial" w:hAnsi="Arial" w:cs="Arial"/>
                <w:sz w:val="20"/>
                <w:szCs w:val="20"/>
              </w:rPr>
              <w:t>8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12A6" w:rsidRPr="00D160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5E8E">
              <w:rPr>
                <w:rFonts w:ascii="Arial" w:hAnsi="Arial" w:cs="Arial"/>
                <w:sz w:val="20"/>
                <w:szCs w:val="20"/>
              </w:rPr>
              <w:t>C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 xml:space="preserve">ontact the Electronic Data Interchange Helpdesk to complete </w:t>
            </w:r>
            <w:r w:rsidR="007A5E8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process for production transactions</w:t>
            </w:r>
            <w:r w:rsidR="007A5E8E">
              <w:rPr>
                <w:rFonts w:ascii="Arial" w:hAnsi="Arial" w:cs="Arial"/>
                <w:sz w:val="20"/>
                <w:szCs w:val="20"/>
              </w:rPr>
              <w:t xml:space="preserve"> once the software is approved</w:t>
            </w:r>
            <w:r w:rsidR="00A5545C" w:rsidRPr="00D160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545C" w:rsidRPr="00D1608F" w14:paraId="66DB9E31" w14:textId="77777777" w:rsidTr="00115825">
        <w:trPr>
          <w:trHeight w:val="1008"/>
        </w:trPr>
        <w:tc>
          <w:tcPr>
            <w:tcW w:w="11016" w:type="dxa"/>
            <w:vAlign w:val="center"/>
          </w:tcPr>
          <w:p w14:paraId="3A06D066" w14:textId="77777777" w:rsidR="00A5545C" w:rsidRPr="00D1608F" w:rsidRDefault="00A5545C" w:rsidP="00D5572F">
            <w:pPr>
              <w:tabs>
                <w:tab w:val="left" w:pos="360"/>
                <w:tab w:val="left" w:pos="720"/>
              </w:tabs>
              <w:spacing w:after="0" w:line="240" w:lineRule="auto"/>
              <w:ind w:left="662" w:hanging="662"/>
              <w:rPr>
                <w:rFonts w:ascii="Arial" w:hAnsi="Arial" w:cs="Arial"/>
                <w:b/>
                <w:sz w:val="20"/>
                <w:szCs w:val="20"/>
              </w:rPr>
            </w:pPr>
            <w:r w:rsidRPr="00D1608F">
              <w:rPr>
                <w:rFonts w:ascii="Arial" w:hAnsi="Arial" w:cs="Arial"/>
                <w:b/>
                <w:sz w:val="20"/>
                <w:szCs w:val="20"/>
              </w:rPr>
              <w:t>Remediation Action Plan</w:t>
            </w:r>
          </w:p>
          <w:p w14:paraId="3275A8DB" w14:textId="77777777" w:rsidR="00A5545C" w:rsidRPr="00D1608F" w:rsidRDefault="00A5545C" w:rsidP="00541F8C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608F">
              <w:rPr>
                <w:rFonts w:ascii="Arial" w:hAnsi="Arial" w:cs="Arial"/>
                <w:sz w:val="20"/>
                <w:szCs w:val="20"/>
              </w:rPr>
              <w:t xml:space="preserve">If the software fails any of the above approval requirements, the vendor has </w:t>
            </w:r>
            <w:r w:rsidR="00537621" w:rsidRPr="00D1608F">
              <w:rPr>
                <w:rFonts w:ascii="Arial" w:hAnsi="Arial" w:cs="Arial"/>
                <w:sz w:val="20"/>
                <w:szCs w:val="20"/>
              </w:rPr>
              <w:t>30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 business days to correct the problem. If the problem is not corrected</w:t>
            </w:r>
            <w:r w:rsidR="00541F8C" w:rsidRPr="00D1608F">
              <w:rPr>
                <w:rFonts w:ascii="Arial" w:hAnsi="Arial" w:cs="Arial"/>
                <w:sz w:val="20"/>
                <w:szCs w:val="20"/>
              </w:rPr>
              <w:t xml:space="preserve"> after the vendor makes three attempts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, the software 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>will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 not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 xml:space="preserve"> be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 approved</w:t>
            </w:r>
            <w:r w:rsidR="00537621" w:rsidRPr="00D1608F">
              <w:rPr>
                <w:rFonts w:ascii="Arial" w:hAnsi="Arial" w:cs="Arial"/>
                <w:sz w:val="20"/>
                <w:szCs w:val="20"/>
              </w:rPr>
              <w:t>. The vendor may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 restart the approval process</w:t>
            </w:r>
            <w:r w:rsidR="00537621" w:rsidRPr="00D1608F">
              <w:rPr>
                <w:rFonts w:ascii="Arial" w:hAnsi="Arial" w:cs="Arial"/>
                <w:sz w:val="20"/>
                <w:szCs w:val="20"/>
              </w:rPr>
              <w:t xml:space="preserve"> 180 days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 xml:space="preserve"> after the date of denial letter</w:t>
            </w:r>
            <w:r w:rsidRPr="00D160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545C" w:rsidRPr="00D1608F" w14:paraId="7C54C335" w14:textId="77777777" w:rsidTr="00FD3DAF">
        <w:trPr>
          <w:trHeight w:val="936"/>
        </w:trPr>
        <w:tc>
          <w:tcPr>
            <w:tcW w:w="11016" w:type="dxa"/>
            <w:vAlign w:val="center"/>
          </w:tcPr>
          <w:p w14:paraId="1250A654" w14:textId="77777777" w:rsidR="00A5545C" w:rsidRPr="00D1608F" w:rsidRDefault="00A5545C" w:rsidP="00D5572F">
            <w:pPr>
              <w:tabs>
                <w:tab w:val="left" w:pos="360"/>
                <w:tab w:val="left" w:pos="720"/>
              </w:tabs>
              <w:spacing w:after="0" w:line="240" w:lineRule="auto"/>
              <w:ind w:left="662" w:hanging="662"/>
              <w:rPr>
                <w:rFonts w:ascii="Arial" w:hAnsi="Arial" w:cs="Arial"/>
                <w:b/>
                <w:sz w:val="20"/>
                <w:szCs w:val="20"/>
              </w:rPr>
            </w:pPr>
            <w:r w:rsidRPr="00D1608F">
              <w:rPr>
                <w:rFonts w:ascii="Arial" w:hAnsi="Arial" w:cs="Arial"/>
                <w:b/>
                <w:sz w:val="20"/>
                <w:szCs w:val="20"/>
              </w:rPr>
              <w:t>Steps for Evaluation Process</w:t>
            </w:r>
          </w:p>
          <w:p w14:paraId="3B09A6E7" w14:textId="77777777" w:rsidR="00A5545C" w:rsidRPr="00D1608F" w:rsidRDefault="00A5545C" w:rsidP="00EC2E5B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608F">
              <w:rPr>
                <w:rFonts w:ascii="Arial" w:hAnsi="Arial" w:cs="Arial"/>
                <w:sz w:val="20"/>
                <w:szCs w:val="20"/>
              </w:rPr>
              <w:t xml:space="preserve">Approved 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>vendor/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software will have initial 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evaluations at one month, three months, and six months from the date of 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>approval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 to ensure compliance. After that time, the software 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>may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 be evaluated 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>annually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EC2E5B" w:rsidRPr="00D1608F">
              <w:rPr>
                <w:rFonts w:ascii="Arial" w:hAnsi="Arial" w:cs="Arial"/>
                <w:sz w:val="20"/>
                <w:szCs w:val="20"/>
              </w:rPr>
              <w:t>maintain approval</w:t>
            </w:r>
            <w:r w:rsidRPr="00D1608F">
              <w:rPr>
                <w:rFonts w:ascii="Arial" w:hAnsi="Arial" w:cs="Arial"/>
                <w:sz w:val="20"/>
                <w:szCs w:val="20"/>
              </w:rPr>
              <w:t xml:space="preserve"> status. </w:t>
            </w:r>
          </w:p>
        </w:tc>
      </w:tr>
      <w:bookmarkEnd w:id="0"/>
    </w:tbl>
    <w:p w14:paraId="5AD1B98B" w14:textId="77777777" w:rsidR="00DD755E" w:rsidRDefault="00DD755E" w:rsidP="002D45A6">
      <w:pPr>
        <w:tabs>
          <w:tab w:val="left" w:pos="360"/>
          <w:tab w:val="left" w:pos="720"/>
        </w:tabs>
        <w:spacing w:after="0" w:line="240" w:lineRule="auto"/>
        <w:ind w:left="662" w:hanging="662"/>
        <w:rPr>
          <w:rFonts w:ascii="Arial" w:hAnsi="Arial" w:cs="Arial"/>
          <w:sz w:val="18"/>
          <w:szCs w:val="18"/>
        </w:rPr>
      </w:pPr>
    </w:p>
    <w:sectPr w:rsidR="00DD755E" w:rsidSect="009A18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181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Eeap6TTLR0/xitEeftwr6+8PWCMY22HTLHmswInGSMHcef8BHFj4I4bcm4ETPmlT8H/uAmteeslTtiNKFiC4Q==" w:salt="RPmGEzsqiO7PlG+HSukA9w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B7"/>
    <w:rsid w:val="00034462"/>
    <w:rsid w:val="00065C6A"/>
    <w:rsid w:val="000A0CC9"/>
    <w:rsid w:val="000C395B"/>
    <w:rsid w:val="000C7166"/>
    <w:rsid w:val="000E6FAD"/>
    <w:rsid w:val="00115825"/>
    <w:rsid w:val="00115947"/>
    <w:rsid w:val="001717AA"/>
    <w:rsid w:val="002123CF"/>
    <w:rsid w:val="00257731"/>
    <w:rsid w:val="0026268D"/>
    <w:rsid w:val="00271861"/>
    <w:rsid w:val="0028323D"/>
    <w:rsid w:val="002A74FA"/>
    <w:rsid w:val="002D45A6"/>
    <w:rsid w:val="00301114"/>
    <w:rsid w:val="00306E0D"/>
    <w:rsid w:val="0032249F"/>
    <w:rsid w:val="00347024"/>
    <w:rsid w:val="00362DA4"/>
    <w:rsid w:val="00373373"/>
    <w:rsid w:val="003D2B46"/>
    <w:rsid w:val="00411FFD"/>
    <w:rsid w:val="004B1393"/>
    <w:rsid w:val="004B5F55"/>
    <w:rsid w:val="004D5F83"/>
    <w:rsid w:val="004F73B8"/>
    <w:rsid w:val="00501634"/>
    <w:rsid w:val="00537621"/>
    <w:rsid w:val="00541F8C"/>
    <w:rsid w:val="005512A6"/>
    <w:rsid w:val="0055251A"/>
    <w:rsid w:val="00586E41"/>
    <w:rsid w:val="00594335"/>
    <w:rsid w:val="005A4C32"/>
    <w:rsid w:val="005B25D7"/>
    <w:rsid w:val="005B3C1A"/>
    <w:rsid w:val="005E34B7"/>
    <w:rsid w:val="00614A19"/>
    <w:rsid w:val="006346C2"/>
    <w:rsid w:val="007147DA"/>
    <w:rsid w:val="00750081"/>
    <w:rsid w:val="00793DB9"/>
    <w:rsid w:val="007A5E8E"/>
    <w:rsid w:val="007B0EC5"/>
    <w:rsid w:val="00817B58"/>
    <w:rsid w:val="00877BDB"/>
    <w:rsid w:val="00910DC3"/>
    <w:rsid w:val="009568C3"/>
    <w:rsid w:val="00956FA4"/>
    <w:rsid w:val="00992E8F"/>
    <w:rsid w:val="009A18B7"/>
    <w:rsid w:val="009C524F"/>
    <w:rsid w:val="00A16504"/>
    <w:rsid w:val="00A4400C"/>
    <w:rsid w:val="00A51FD4"/>
    <w:rsid w:val="00A5545C"/>
    <w:rsid w:val="00A8452D"/>
    <w:rsid w:val="00AC5648"/>
    <w:rsid w:val="00AD0DED"/>
    <w:rsid w:val="00B27704"/>
    <w:rsid w:val="00B74F3E"/>
    <w:rsid w:val="00BA6638"/>
    <w:rsid w:val="00BD4367"/>
    <w:rsid w:val="00BE004F"/>
    <w:rsid w:val="00C1438D"/>
    <w:rsid w:val="00C84C5F"/>
    <w:rsid w:val="00CC52CD"/>
    <w:rsid w:val="00CE34E3"/>
    <w:rsid w:val="00D1608F"/>
    <w:rsid w:val="00D2200A"/>
    <w:rsid w:val="00D30BF0"/>
    <w:rsid w:val="00D34427"/>
    <w:rsid w:val="00D5572F"/>
    <w:rsid w:val="00D6342E"/>
    <w:rsid w:val="00D75DD1"/>
    <w:rsid w:val="00DA6A4E"/>
    <w:rsid w:val="00DB4406"/>
    <w:rsid w:val="00DD755E"/>
    <w:rsid w:val="00DF7DDC"/>
    <w:rsid w:val="00E41A00"/>
    <w:rsid w:val="00E4325F"/>
    <w:rsid w:val="00E46612"/>
    <w:rsid w:val="00E4741C"/>
    <w:rsid w:val="00EA0144"/>
    <w:rsid w:val="00EC2E5B"/>
    <w:rsid w:val="00EC3C53"/>
    <w:rsid w:val="00F3775C"/>
    <w:rsid w:val="00F40A93"/>
    <w:rsid w:val="00F533DA"/>
    <w:rsid w:val="00FD1163"/>
    <w:rsid w:val="00FD3DAF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4E4F"/>
  <w15:chartTrackingRefBased/>
  <w15:docId w15:val="{3745A98A-65D7-4B8C-8658-046B5AC5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ortable">
    <w:name w:val="body text for table"/>
    <w:basedOn w:val="Normal"/>
    <w:next w:val="Normal"/>
    <w:autoRedefine/>
    <w:rsid w:val="00065C6A"/>
    <w:pPr>
      <w:spacing w:after="0" w:line="240" w:lineRule="auto"/>
    </w:pPr>
    <w:rPr>
      <w:rFonts w:ascii="Futura Lt BT" w:hAnsi="Futura Lt BT"/>
      <w:sz w:val="20"/>
    </w:rPr>
  </w:style>
  <w:style w:type="paragraph" w:customStyle="1" w:styleId="bodytextfortableheader">
    <w:name w:val="body text for table header"/>
    <w:basedOn w:val="bodytextfortable"/>
    <w:autoRedefine/>
    <w:rsid w:val="00065C6A"/>
    <w:rPr>
      <w:rFonts w:ascii="Futura Md BT" w:hAnsi="Futura Md BT"/>
    </w:rPr>
  </w:style>
  <w:style w:type="paragraph" w:customStyle="1" w:styleId="footnotefortable">
    <w:name w:val="footnote for table"/>
    <w:basedOn w:val="bodytextfortable"/>
    <w:autoRedefine/>
    <w:rsid w:val="00065C6A"/>
    <w:pPr>
      <w:tabs>
        <w:tab w:val="left" w:pos="360"/>
      </w:tabs>
    </w:pPr>
    <w:rPr>
      <w:sz w:val="18"/>
    </w:rPr>
  </w:style>
  <w:style w:type="paragraph" w:customStyle="1" w:styleId="Bulletlist">
    <w:name w:val="Bullet list"/>
    <w:basedOn w:val="Normal"/>
    <w:uiPriority w:val="99"/>
    <w:qFormat/>
    <w:rsid w:val="00793DB9"/>
    <w:pPr>
      <w:numPr>
        <w:numId w:val="1"/>
      </w:numPr>
      <w:spacing w:after="0" w:line="310" w:lineRule="exact"/>
    </w:pPr>
    <w:rPr>
      <w:rFonts w:ascii="Garamond" w:eastAsia="Times New Roman" w:hAnsi="Garamond"/>
      <w:sz w:val="20"/>
      <w:szCs w:val="24"/>
    </w:rPr>
  </w:style>
  <w:style w:type="character" w:styleId="Hyperlink">
    <w:name w:val="Hyperlink"/>
    <w:uiPriority w:val="99"/>
    <w:unhideWhenUsed/>
    <w:rsid w:val="009A18B7"/>
    <w:rPr>
      <w:color w:val="0000FF"/>
      <w:u w:val="single"/>
    </w:rPr>
  </w:style>
  <w:style w:type="table" w:styleId="TableGrid">
    <w:name w:val="Table Grid"/>
    <w:basedOn w:val="TableNormal"/>
    <w:uiPriority w:val="59"/>
    <w:rsid w:val="00A55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06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E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E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E0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6E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6E0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1608F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5E34B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E34B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rwardhealth.wi.gov/WI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Therapy Management Case Management Case Management Software Vendor Steps for Software Approval Process, F-00855A,</vt:lpstr>
    </vt:vector>
  </TitlesOfParts>
  <Company>HP</Company>
  <LinksUpToDate>false</LinksUpToDate>
  <CharactersWithSpaces>3847</CharactersWithSpaces>
  <SharedDoc>false</SharedDoc>
  <HLinks>
    <vt:vector size="6" baseType="variant">
      <vt:variant>
        <vt:i4>3276855</vt:i4>
      </vt:variant>
      <vt:variant>
        <vt:i4>0</vt:i4>
      </vt:variant>
      <vt:variant>
        <vt:i4>0</vt:i4>
      </vt:variant>
      <vt:variant>
        <vt:i4>5</vt:i4>
      </vt:variant>
      <vt:variant>
        <vt:lpwstr>https://www.forwardhealth.wi.gov/WIPortal/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Therapy Management Case Management Case Management Software Vendor Steps for Software Approval Process, F-00855A,</dc:title>
  <dc:subject/>
  <dc:creator>DHS</dc:creator>
  <cp:keywords>dhs, department health services, f-00855a, medication therapy management case management case management software vendor steps software approval process</cp:keywords>
  <cp:lastModifiedBy>Ward, Abigail M - DHS</cp:lastModifiedBy>
  <cp:revision>4</cp:revision>
  <dcterms:created xsi:type="dcterms:W3CDTF">2026-01-08T18:19:00Z</dcterms:created>
  <dcterms:modified xsi:type="dcterms:W3CDTF">2026-01-08T18:19:00Z</dcterms:modified>
</cp:coreProperties>
</file>