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Cs/>
          <w:iCs/>
          <w:szCs w:val="18"/>
        </w:rPr>
        <w:id w:val="-150139588"/>
        <w:lock w:val="contentLocked"/>
        <w:placeholder>
          <w:docPart w:val="DefaultPlaceholder_1082065158"/>
        </w:placeholder>
        <w:group/>
      </w:sdtPr>
      <w:sdtEndPr>
        <w:rPr>
          <w:b w:val="0"/>
          <w:bCs w:val="0"/>
          <w:iCs w:val="0"/>
          <w:color w:val="000000"/>
          <w:szCs w:val="20"/>
        </w:rPr>
      </w:sdtEndPr>
      <w:sdtContent>
        <w:p w:rsidR="00A03B71" w:rsidRPr="00D3421D" w:rsidRDefault="00075ACD" w:rsidP="00A03B71">
          <w:pPr>
            <w:pStyle w:val="Heading2"/>
            <w:tabs>
              <w:tab w:val="right" w:pos="10800"/>
            </w:tabs>
            <w:rPr>
              <w:bCs/>
              <w:iCs/>
              <w:szCs w:val="18"/>
            </w:rPr>
          </w:pPr>
          <w:r w:rsidRPr="00075ACD">
            <w:rPr>
              <w:noProof/>
              <w:szCs w:val="18"/>
            </w:rPr>
            <w:drawing>
              <wp:anchor distT="0" distB="0" distL="114300" distR="114300" simplePos="0" relativeHeight="251657728" behindDoc="1" locked="1" layoutInCell="1" allowOverlap="0" wp14:anchorId="3BA9478C" wp14:editId="682A9714">
                <wp:simplePos x="0" y="0"/>
                <wp:positionH relativeFrom="column">
                  <wp:posOffset>5001895</wp:posOffset>
                </wp:positionH>
                <wp:positionV relativeFrom="page">
                  <wp:posOffset>8942705</wp:posOffset>
                </wp:positionV>
                <wp:extent cx="1883410" cy="842645"/>
                <wp:effectExtent l="0" t="0" r="2540" b="0"/>
                <wp:wrapTight wrapText="bothSides">
                  <wp:wrapPolygon edited="0">
                    <wp:start x="0" y="0"/>
                    <wp:lineTo x="0" y="20998"/>
                    <wp:lineTo x="21411" y="20998"/>
                    <wp:lineTo x="21411" y="0"/>
                    <wp:lineTo x="0" y="0"/>
                  </wp:wrapPolygon>
                </wp:wrapTight>
                <wp:docPr id="4" name="Picture 4" descr="F-01012-Reimb Req PASARR Lv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01012-Reimb Req PASARR Lvl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67EA6" w:rsidRPr="00D3421D">
            <w:rPr>
              <w:bCs/>
              <w:iCs/>
              <w:szCs w:val="18"/>
            </w:rPr>
            <w:t>D</w:t>
          </w:r>
          <w:r w:rsidR="00A03B71" w:rsidRPr="00D3421D">
            <w:rPr>
              <w:bCs/>
              <w:iCs/>
              <w:szCs w:val="18"/>
            </w:rPr>
            <w:t>EPARTMENT OF HEALTH SERVICES</w:t>
          </w:r>
          <w:r w:rsidR="00A03B71" w:rsidRPr="00D3421D">
            <w:rPr>
              <w:bCs/>
              <w:iCs/>
              <w:szCs w:val="18"/>
            </w:rPr>
            <w:tab/>
            <w:t>STATE OF WISCONSIN</w:t>
          </w:r>
        </w:p>
        <w:p w:rsidR="00A03B71" w:rsidRPr="00D3421D" w:rsidRDefault="00A03B71" w:rsidP="00A03B71">
          <w:pPr>
            <w:rPr>
              <w:sz w:val="18"/>
              <w:szCs w:val="18"/>
            </w:rPr>
          </w:pPr>
          <w:r w:rsidRPr="00D3421D">
            <w:rPr>
              <w:sz w:val="18"/>
              <w:szCs w:val="18"/>
            </w:rPr>
            <w:t xml:space="preserve">Division of </w:t>
          </w:r>
          <w:r w:rsidR="00075ACD">
            <w:rPr>
              <w:sz w:val="18"/>
              <w:szCs w:val="18"/>
            </w:rPr>
            <w:t>Medicaid Services</w:t>
          </w:r>
        </w:p>
        <w:p w:rsidR="00A03B71" w:rsidRPr="00D3421D" w:rsidRDefault="00A03B71" w:rsidP="00A03B71">
          <w:pPr>
            <w:rPr>
              <w:b/>
              <w:sz w:val="18"/>
              <w:szCs w:val="18"/>
            </w:rPr>
          </w:pPr>
          <w:r w:rsidRPr="00D3421D">
            <w:rPr>
              <w:sz w:val="18"/>
              <w:szCs w:val="18"/>
            </w:rPr>
            <w:t>F-</w:t>
          </w:r>
          <w:r w:rsidR="007751C5" w:rsidRPr="00D3421D">
            <w:rPr>
              <w:sz w:val="18"/>
              <w:szCs w:val="18"/>
            </w:rPr>
            <w:t>01012 (</w:t>
          </w:r>
          <w:r w:rsidR="00075ACD">
            <w:rPr>
              <w:sz w:val="18"/>
              <w:szCs w:val="18"/>
            </w:rPr>
            <w:t>08/2017</w:t>
          </w:r>
          <w:r w:rsidRPr="00D3421D">
            <w:rPr>
              <w:sz w:val="18"/>
              <w:szCs w:val="18"/>
            </w:rPr>
            <w:t>)</w:t>
          </w:r>
        </w:p>
        <w:p w:rsidR="00A03B71" w:rsidRPr="00D3421D" w:rsidRDefault="00A03B71" w:rsidP="00A03B71">
          <w:pPr>
            <w:jc w:val="center"/>
            <w:rPr>
              <w:b/>
              <w:sz w:val="18"/>
              <w:szCs w:val="18"/>
            </w:rPr>
          </w:pPr>
        </w:p>
        <w:p w:rsidR="00A03B71" w:rsidRPr="0076732A" w:rsidRDefault="00A03B71" w:rsidP="00A03B71">
          <w:pPr>
            <w:jc w:val="center"/>
            <w:rPr>
              <w:b/>
              <w:sz w:val="20"/>
            </w:rPr>
          </w:pPr>
          <w:r w:rsidRPr="0076732A">
            <w:rPr>
              <w:b/>
              <w:sz w:val="20"/>
            </w:rPr>
            <w:t>FORWARDHEALTH</w:t>
          </w:r>
        </w:p>
        <w:p w:rsidR="00A03B71" w:rsidRPr="00EF4719" w:rsidRDefault="00A03B71" w:rsidP="00A03B71">
          <w:pPr>
            <w:jc w:val="center"/>
            <w:rPr>
              <w:b/>
            </w:rPr>
          </w:pPr>
          <w:r w:rsidRPr="00EF4719">
            <w:rPr>
              <w:b/>
            </w:rPr>
            <w:t xml:space="preserve">REIMBURSEMENT REQUEST FOR A </w:t>
          </w:r>
          <w:r w:rsidR="008D6C30">
            <w:rPr>
              <w:b/>
            </w:rPr>
            <w:t>PASRR</w:t>
          </w:r>
          <w:r w:rsidRPr="00EF4719">
            <w:rPr>
              <w:b/>
            </w:rPr>
            <w:t xml:space="preserve"> LEVEL I SCREEN</w:t>
          </w:r>
        </w:p>
        <w:p w:rsidR="00A03B71" w:rsidRPr="00EF4719" w:rsidRDefault="00A03B71" w:rsidP="00A03B71">
          <w:pPr>
            <w:jc w:val="center"/>
            <w:rPr>
              <w:sz w:val="18"/>
              <w:szCs w:val="18"/>
            </w:rPr>
          </w:pPr>
        </w:p>
        <w:p w:rsidR="009D7ACD" w:rsidRPr="003D618B" w:rsidRDefault="009D7ACD" w:rsidP="009D7ACD">
          <w:pPr>
            <w:rPr>
              <w:sz w:val="18"/>
              <w:szCs w:val="18"/>
            </w:rPr>
          </w:pPr>
          <w:r w:rsidRPr="003D618B">
            <w:rPr>
              <w:b/>
              <w:sz w:val="18"/>
              <w:szCs w:val="18"/>
            </w:rPr>
            <w:t xml:space="preserve">Instructions: </w:t>
          </w:r>
          <w:r w:rsidRPr="003D618B">
            <w:rPr>
              <w:sz w:val="18"/>
              <w:szCs w:val="18"/>
            </w:rPr>
            <w:t xml:space="preserve">Type or print clearly. Before completing this form, </w:t>
          </w:r>
          <w:r>
            <w:rPr>
              <w:sz w:val="18"/>
              <w:szCs w:val="18"/>
            </w:rPr>
            <w:t>refer to</w:t>
          </w:r>
          <w:r w:rsidRPr="003D618B">
            <w:rPr>
              <w:sz w:val="18"/>
              <w:szCs w:val="18"/>
            </w:rPr>
            <w:t xml:space="preserve"> the Reimbursement Request for a </w:t>
          </w:r>
          <w:r w:rsidR="008D6C30">
            <w:rPr>
              <w:sz w:val="18"/>
              <w:szCs w:val="18"/>
            </w:rPr>
            <w:t>PASRR</w:t>
          </w:r>
          <w:r w:rsidRPr="003D618B">
            <w:rPr>
              <w:sz w:val="18"/>
              <w:szCs w:val="18"/>
            </w:rPr>
            <w:t xml:space="preserve"> Level I Screen Completion Instructions, F-</w:t>
          </w:r>
          <w:r>
            <w:rPr>
              <w:sz w:val="18"/>
              <w:szCs w:val="18"/>
            </w:rPr>
            <w:t>0</w:t>
          </w:r>
          <w:r w:rsidRPr="003D618B">
            <w:rPr>
              <w:sz w:val="18"/>
              <w:szCs w:val="18"/>
            </w:rPr>
            <w:t xml:space="preserve">1012A. </w:t>
          </w:r>
          <w:r w:rsidRPr="003D618B">
            <w:rPr>
              <w:rFonts w:cs="Arial"/>
              <w:b/>
              <w:bCs/>
              <w:sz w:val="18"/>
              <w:szCs w:val="18"/>
            </w:rPr>
            <w:t>The use of this form is mandatory; use an exact copy of this form.</w:t>
          </w:r>
        </w:p>
        <w:p w:rsidR="009D7ACD" w:rsidRDefault="009D7ACD" w:rsidP="00A03B71">
          <w:pPr>
            <w:rPr>
              <w:color w:val="000000"/>
              <w:sz w:val="18"/>
            </w:rPr>
          </w:pPr>
        </w:p>
        <w:p w:rsidR="00A03B71" w:rsidRPr="003D618B" w:rsidRDefault="00A03B71" w:rsidP="00A03B71">
          <w:pPr>
            <w:rPr>
              <w:color w:val="000000"/>
              <w:sz w:val="18"/>
            </w:rPr>
          </w:pPr>
          <w:r w:rsidRPr="003D618B">
            <w:rPr>
              <w:color w:val="000000"/>
              <w:sz w:val="18"/>
            </w:rPr>
            <w:t>The information on this reimbursement request is required to ensure that Medicaid-</w:t>
          </w:r>
          <w:r w:rsidR="00257E6B">
            <w:rPr>
              <w:color w:val="000000"/>
              <w:sz w:val="18"/>
            </w:rPr>
            <w:t>enrolled</w:t>
          </w:r>
          <w:r w:rsidR="00257E6B" w:rsidRPr="003D618B">
            <w:rPr>
              <w:color w:val="000000"/>
              <w:sz w:val="18"/>
            </w:rPr>
            <w:t xml:space="preserve"> </w:t>
          </w:r>
          <w:r w:rsidRPr="003D618B">
            <w:rPr>
              <w:color w:val="000000"/>
              <w:sz w:val="18"/>
            </w:rPr>
            <w:t>long</w:t>
          </w:r>
          <w:r w:rsidR="00257E6B">
            <w:rPr>
              <w:color w:val="000000"/>
              <w:sz w:val="18"/>
            </w:rPr>
            <w:t>-</w:t>
          </w:r>
          <w:r w:rsidRPr="003D618B">
            <w:rPr>
              <w:color w:val="000000"/>
              <w:sz w:val="18"/>
            </w:rPr>
            <w:t>term care facilities, nursing facilities (NFs), are only paid for Level l Screens that are required under 42 C</w:t>
          </w:r>
          <w:r w:rsidR="00257E6B">
            <w:rPr>
              <w:color w:val="000000"/>
              <w:sz w:val="18"/>
            </w:rPr>
            <w:t>.</w:t>
          </w:r>
          <w:r w:rsidRPr="003D618B">
            <w:rPr>
              <w:color w:val="000000"/>
              <w:sz w:val="18"/>
            </w:rPr>
            <w:t>F</w:t>
          </w:r>
          <w:r w:rsidR="00257E6B">
            <w:rPr>
              <w:color w:val="000000"/>
              <w:sz w:val="18"/>
            </w:rPr>
            <w:t>.</w:t>
          </w:r>
          <w:r w:rsidRPr="003D618B">
            <w:rPr>
              <w:color w:val="000000"/>
              <w:sz w:val="18"/>
            </w:rPr>
            <w:t>R</w:t>
          </w:r>
          <w:r w:rsidR="00257E6B">
            <w:rPr>
              <w:color w:val="000000"/>
              <w:sz w:val="18"/>
            </w:rPr>
            <w:t>.</w:t>
          </w:r>
          <w:r w:rsidRPr="003D618B">
            <w:rPr>
              <w:color w:val="000000"/>
              <w:sz w:val="18"/>
            </w:rPr>
            <w:t xml:space="preserve"> </w:t>
          </w:r>
          <w:r w:rsidR="00075ACD">
            <w:rPr>
              <w:color w:val="000000"/>
              <w:sz w:val="18"/>
            </w:rPr>
            <w:t>§</w:t>
          </w:r>
          <w:r w:rsidRPr="003D618B">
            <w:rPr>
              <w:color w:val="000000"/>
              <w:sz w:val="18"/>
            </w:rPr>
            <w:t xml:space="preserve"> 483.104. On February 1, 1997, new reimbursement guidelines were implemented by Wisconsin Medicaid based on this federal regulation. Effective February 1, 1997, only Level l Screens performed on residents who meet the definition of a </w:t>
          </w:r>
          <w:r w:rsidRPr="00D3421D">
            <w:rPr>
              <w:color w:val="000000"/>
              <w:sz w:val="18"/>
            </w:rPr>
            <w:t>new admission</w:t>
          </w:r>
          <w:r w:rsidRPr="00075ACD">
            <w:rPr>
              <w:color w:val="000000"/>
              <w:sz w:val="18"/>
              <w:szCs w:val="18"/>
              <w:vertAlign w:val="superscript"/>
            </w:rPr>
            <w:t>1</w:t>
          </w:r>
          <w:r w:rsidRPr="003D618B">
            <w:rPr>
              <w:color w:val="000000"/>
              <w:sz w:val="18"/>
            </w:rPr>
            <w:t xml:space="preserve"> are reimbursable. </w:t>
          </w:r>
        </w:p>
        <w:p w:rsidR="00A03B71" w:rsidRPr="003D618B" w:rsidRDefault="00A03B71" w:rsidP="00A03B71">
          <w:pPr>
            <w:rPr>
              <w:color w:val="000000"/>
              <w:sz w:val="18"/>
            </w:rPr>
          </w:pPr>
        </w:p>
        <w:p w:rsidR="00A03B71" w:rsidRPr="003D618B" w:rsidRDefault="00A03B71" w:rsidP="00A03B71">
          <w:pPr>
            <w:rPr>
              <w:color w:val="000000"/>
              <w:sz w:val="18"/>
            </w:rPr>
          </w:pPr>
          <w:r w:rsidRPr="003D618B">
            <w:rPr>
              <w:color w:val="000000"/>
              <w:sz w:val="18"/>
            </w:rPr>
            <w:t>N</w:t>
          </w:r>
          <w:r w:rsidR="00257E6B">
            <w:rPr>
              <w:color w:val="000000"/>
              <w:sz w:val="18"/>
            </w:rPr>
            <w:t>Fs</w:t>
          </w:r>
          <w:r w:rsidRPr="003D618B">
            <w:rPr>
              <w:color w:val="000000"/>
              <w:sz w:val="18"/>
            </w:rPr>
            <w:t xml:space="preserve"> are not required to perform a new Level l Screen on residents who are returning from a hospital stay, </w:t>
          </w:r>
          <w:r w:rsidRPr="00D3421D">
            <w:rPr>
              <w:color w:val="000000"/>
              <w:sz w:val="18"/>
            </w:rPr>
            <w:t>readmission</w:t>
          </w:r>
          <w:r w:rsidRPr="00075ACD">
            <w:rPr>
              <w:color w:val="000000"/>
              <w:sz w:val="18"/>
              <w:szCs w:val="18"/>
              <w:vertAlign w:val="superscript"/>
            </w:rPr>
            <w:t>2</w:t>
          </w:r>
          <w:r w:rsidRPr="003D618B">
            <w:rPr>
              <w:color w:val="000000"/>
              <w:sz w:val="18"/>
            </w:rPr>
            <w:t xml:space="preserve">, or </w:t>
          </w:r>
          <w:r w:rsidRPr="00D3421D">
            <w:rPr>
              <w:color w:val="000000"/>
              <w:sz w:val="18"/>
            </w:rPr>
            <w:t>interfacility transfer</w:t>
          </w:r>
          <w:r w:rsidRPr="00075ACD">
            <w:rPr>
              <w:color w:val="000000"/>
              <w:sz w:val="18"/>
              <w:szCs w:val="18"/>
              <w:vertAlign w:val="superscript"/>
            </w:rPr>
            <w:t>3</w:t>
          </w:r>
          <w:r w:rsidRPr="003D618B">
            <w:rPr>
              <w:color w:val="000000"/>
              <w:sz w:val="18"/>
            </w:rPr>
            <w:t>. If an NF elects to perform a new Level I Screen for a readmission or interfacility transfer, the NF should not seek reimbursement for it.</w:t>
          </w:r>
        </w:p>
        <w:p w:rsidR="00A03B71" w:rsidRPr="003D618B" w:rsidRDefault="00A03B71" w:rsidP="00A03B71">
          <w:pPr>
            <w:rPr>
              <w:color w:val="000000"/>
              <w:sz w:val="18"/>
            </w:rPr>
          </w:pPr>
        </w:p>
        <w:p w:rsidR="00A03B71" w:rsidRPr="003D618B" w:rsidRDefault="00A03B71" w:rsidP="00A03B71">
          <w:pPr>
            <w:rPr>
              <w:sz w:val="18"/>
              <w:szCs w:val="18"/>
            </w:rPr>
          </w:pPr>
          <w:r w:rsidRPr="003D618B">
            <w:rPr>
              <w:color w:val="000000"/>
              <w:sz w:val="18"/>
            </w:rPr>
            <w:t xml:space="preserve">Submit this completed form by mail to </w:t>
          </w:r>
          <w:r w:rsidRPr="003D618B">
            <w:rPr>
              <w:sz w:val="18"/>
              <w:szCs w:val="18"/>
            </w:rPr>
            <w:t>ForwardHealth,</w:t>
          </w:r>
          <w:r w:rsidR="00420220">
            <w:rPr>
              <w:sz w:val="18"/>
              <w:szCs w:val="18"/>
            </w:rPr>
            <w:t xml:space="preserve"> Claims and Adjustments,</w:t>
          </w:r>
          <w:r w:rsidRPr="003D618B">
            <w:rPr>
              <w:sz w:val="18"/>
              <w:szCs w:val="18"/>
            </w:rPr>
            <w:t xml:space="preserve"> </w:t>
          </w:r>
          <w:r w:rsidR="007751C5">
            <w:rPr>
              <w:sz w:val="18"/>
              <w:szCs w:val="18"/>
            </w:rPr>
            <w:t>313 Blettner Boulevard</w:t>
          </w:r>
          <w:r w:rsidR="00790272">
            <w:rPr>
              <w:sz w:val="18"/>
              <w:szCs w:val="18"/>
            </w:rPr>
            <w:t>, Madison, WI 53784</w:t>
          </w:r>
          <w:r w:rsidRPr="003D618B">
            <w:rPr>
              <w:sz w:val="18"/>
              <w:szCs w:val="18"/>
            </w:rPr>
            <w:t>.</w:t>
          </w:r>
        </w:p>
        <w:p w:rsidR="00A03B71" w:rsidRPr="003D618B" w:rsidRDefault="00A30F3B" w:rsidP="00A03B71">
          <w:pPr>
            <w:rPr>
              <w:color w:val="000000"/>
              <w:sz w:val="18"/>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4"/>
        <w:gridCol w:w="1163"/>
        <w:gridCol w:w="1150"/>
        <w:gridCol w:w="3349"/>
      </w:tblGrid>
      <w:sdt>
        <w:sdtPr>
          <w:rPr>
            <w:sz w:val="18"/>
            <w:szCs w:val="18"/>
          </w:rPr>
          <w:id w:val="53441605"/>
          <w:lock w:val="contentLocked"/>
          <w:placeholder>
            <w:docPart w:val="DefaultPlaceholder_1082065158"/>
          </w:placeholder>
          <w:group/>
        </w:sdtPr>
        <w:sdtEndPr>
          <w:rPr>
            <w:color w:val="000000"/>
          </w:rPr>
        </w:sdtEndPr>
        <w:sdtContent>
          <w:tr w:rsidR="00A03B71" w:rsidRPr="007D02A0" w:rsidTr="00A30F3B">
            <w:trPr>
              <w:trHeight w:val="20"/>
            </w:trPr>
            <w:tc>
              <w:tcPr>
                <w:tcW w:w="2430" w:type="pct"/>
                <w:tcBorders>
                  <w:top w:val="single" w:sz="4" w:space="0" w:color="auto"/>
                  <w:left w:val="nil"/>
                  <w:bottom w:val="nil"/>
                </w:tcBorders>
              </w:tcPr>
              <w:p w:rsidR="00182E90" w:rsidRPr="00A30F3B" w:rsidRDefault="00A03B71">
                <w:pPr>
                  <w:spacing w:before="20"/>
                  <w:rPr>
                    <w:sz w:val="18"/>
                    <w:szCs w:val="18"/>
                  </w:rPr>
                </w:pPr>
                <w:r w:rsidRPr="007D02A0">
                  <w:rPr>
                    <w:sz w:val="18"/>
                    <w:szCs w:val="18"/>
                  </w:rPr>
                  <w:t xml:space="preserve">Name </w:t>
                </w:r>
                <w:r w:rsidR="00075ACD">
                  <w:rPr>
                    <w:sz w:val="18"/>
                    <w:szCs w:val="18"/>
                  </w:rPr>
                  <w:t>–</w:t>
                </w:r>
                <w:r w:rsidR="00075ACD" w:rsidRPr="007D02A0">
                  <w:rPr>
                    <w:sz w:val="18"/>
                    <w:szCs w:val="18"/>
                  </w:rPr>
                  <w:t xml:space="preserve"> </w:t>
                </w:r>
                <w:r w:rsidRPr="007D02A0">
                  <w:rPr>
                    <w:sz w:val="18"/>
                    <w:szCs w:val="18"/>
                  </w:rPr>
                  <w:t>NF (Practice Location Name, not Corporate Name)</w:t>
                </w:r>
              </w:p>
            </w:tc>
            <w:tc>
              <w:tcPr>
                <w:tcW w:w="1050" w:type="pct"/>
                <w:gridSpan w:val="2"/>
                <w:tcBorders>
                  <w:top w:val="single" w:sz="4" w:space="0" w:color="auto"/>
                  <w:left w:val="nil"/>
                  <w:bottom w:val="nil"/>
                </w:tcBorders>
              </w:tcPr>
              <w:p w:rsidR="00182E90" w:rsidRPr="007D02A0" w:rsidRDefault="00A03B71">
                <w:pPr>
                  <w:spacing w:before="20"/>
                  <w:rPr>
                    <w:sz w:val="18"/>
                    <w:szCs w:val="18"/>
                  </w:rPr>
                </w:pPr>
                <w:r w:rsidRPr="007D02A0">
                  <w:rPr>
                    <w:sz w:val="18"/>
                    <w:szCs w:val="18"/>
                  </w:rPr>
                  <w:t>POP ID (Required)</w:t>
                </w:r>
              </w:p>
            </w:tc>
            <w:tc>
              <w:tcPr>
                <w:tcW w:w="1520" w:type="pct"/>
                <w:tcBorders>
                  <w:top w:val="single" w:sz="4" w:space="0" w:color="auto"/>
                  <w:bottom w:val="nil"/>
                  <w:right w:val="nil"/>
                </w:tcBorders>
              </w:tcPr>
              <w:p w:rsidR="00182E90" w:rsidRPr="007D02A0" w:rsidRDefault="00A03B71">
                <w:pPr>
                  <w:spacing w:before="20"/>
                  <w:rPr>
                    <w:color w:val="000000"/>
                    <w:sz w:val="18"/>
                    <w:szCs w:val="18"/>
                  </w:rPr>
                </w:pPr>
                <w:r w:rsidRPr="007D02A0">
                  <w:rPr>
                    <w:color w:val="000000"/>
                    <w:sz w:val="18"/>
                    <w:szCs w:val="18"/>
                  </w:rPr>
                  <w:t xml:space="preserve">National Provider Identifier </w:t>
                </w:r>
                <w:r w:rsidR="00075ACD">
                  <w:rPr>
                    <w:color w:val="000000"/>
                    <w:sz w:val="18"/>
                    <w:szCs w:val="18"/>
                  </w:rPr>
                  <w:t>–</w:t>
                </w:r>
                <w:r w:rsidR="00075ACD" w:rsidRPr="007D02A0">
                  <w:rPr>
                    <w:color w:val="000000"/>
                    <w:sz w:val="18"/>
                    <w:szCs w:val="18"/>
                  </w:rPr>
                  <w:t xml:space="preserve"> </w:t>
                </w:r>
                <w:r w:rsidRPr="007D02A0">
                  <w:rPr>
                    <w:color w:val="000000"/>
                    <w:sz w:val="18"/>
                    <w:szCs w:val="18"/>
                  </w:rPr>
                  <w:t>NF</w:t>
                </w:r>
              </w:p>
            </w:tc>
          </w:tr>
        </w:sdtContent>
      </w:sdt>
      <w:tr w:rsidR="00A30F3B" w:rsidRPr="007D02A0" w:rsidTr="00A30F3B">
        <w:trPr>
          <w:trHeight w:val="360"/>
        </w:trPr>
        <w:tc>
          <w:tcPr>
            <w:tcW w:w="2430" w:type="pct"/>
            <w:tcBorders>
              <w:top w:val="nil"/>
              <w:left w:val="nil"/>
              <w:bottom w:val="single" w:sz="4" w:space="0" w:color="auto"/>
            </w:tcBorders>
          </w:tcPr>
          <w:p w:rsidR="00A30F3B" w:rsidRPr="007D02A0" w:rsidRDefault="00A30F3B" w:rsidP="00A30F3B"/>
        </w:tc>
        <w:tc>
          <w:tcPr>
            <w:tcW w:w="1050" w:type="pct"/>
            <w:gridSpan w:val="2"/>
            <w:tcBorders>
              <w:top w:val="nil"/>
              <w:left w:val="nil"/>
              <w:bottom w:val="single" w:sz="4" w:space="0" w:color="auto"/>
            </w:tcBorders>
          </w:tcPr>
          <w:p w:rsidR="00A30F3B" w:rsidRPr="007D02A0" w:rsidRDefault="00A30F3B" w:rsidP="00A30F3B"/>
        </w:tc>
        <w:tc>
          <w:tcPr>
            <w:tcW w:w="1520" w:type="pct"/>
            <w:tcBorders>
              <w:top w:val="nil"/>
              <w:bottom w:val="single" w:sz="4" w:space="0" w:color="auto"/>
              <w:right w:val="nil"/>
            </w:tcBorders>
          </w:tcPr>
          <w:p w:rsidR="00A30F3B" w:rsidRPr="007D02A0" w:rsidRDefault="00A30F3B" w:rsidP="00A30F3B">
            <w:pPr>
              <w:rPr>
                <w:color w:val="000000"/>
              </w:rPr>
            </w:pPr>
          </w:p>
        </w:tc>
      </w:tr>
      <w:sdt>
        <w:sdtPr>
          <w:rPr>
            <w:sz w:val="18"/>
            <w:szCs w:val="18"/>
          </w:rPr>
          <w:id w:val="-1506360311"/>
          <w:lock w:val="contentLocked"/>
          <w:placeholder>
            <w:docPart w:val="DefaultPlaceholder_1082065158"/>
          </w:placeholder>
          <w:group/>
        </w:sdtPr>
        <w:sdtContent>
          <w:tr w:rsidR="00A03B71" w:rsidRPr="007D02A0" w:rsidTr="00A30F3B">
            <w:tblPrEx>
              <w:tblBorders>
                <w:left w:val="none" w:sz="0" w:space="0" w:color="auto"/>
                <w:right w:val="none" w:sz="0" w:space="0" w:color="auto"/>
              </w:tblBorders>
            </w:tblPrEx>
            <w:trPr>
              <w:trHeight w:val="20"/>
            </w:trPr>
            <w:tc>
              <w:tcPr>
                <w:tcW w:w="2430" w:type="pct"/>
                <w:tcBorders>
                  <w:top w:val="single" w:sz="4" w:space="0" w:color="auto"/>
                  <w:bottom w:val="nil"/>
                </w:tcBorders>
              </w:tcPr>
              <w:p w:rsidR="00182E90" w:rsidRPr="007D02A0" w:rsidRDefault="00A03B71">
                <w:pPr>
                  <w:spacing w:before="20"/>
                  <w:rPr>
                    <w:sz w:val="18"/>
                    <w:szCs w:val="18"/>
                  </w:rPr>
                </w:pPr>
                <w:r w:rsidRPr="007D02A0">
                  <w:rPr>
                    <w:sz w:val="18"/>
                    <w:szCs w:val="18"/>
                  </w:rPr>
                  <w:t xml:space="preserve">Last Name </w:t>
                </w:r>
                <w:r w:rsidR="00075ACD">
                  <w:rPr>
                    <w:sz w:val="18"/>
                    <w:szCs w:val="18"/>
                  </w:rPr>
                  <w:t>–</w:t>
                </w:r>
                <w:r w:rsidR="00075ACD" w:rsidRPr="007D02A0">
                  <w:rPr>
                    <w:sz w:val="18"/>
                    <w:szCs w:val="18"/>
                  </w:rPr>
                  <w:t xml:space="preserve"> </w:t>
                </w:r>
                <w:r w:rsidRPr="007D02A0">
                  <w:rPr>
                    <w:sz w:val="18"/>
                    <w:szCs w:val="18"/>
                  </w:rPr>
                  <w:t>Resident</w:t>
                </w:r>
              </w:p>
            </w:tc>
            <w:tc>
              <w:tcPr>
                <w:tcW w:w="1050" w:type="pct"/>
                <w:gridSpan w:val="2"/>
                <w:tcBorders>
                  <w:top w:val="single" w:sz="4" w:space="0" w:color="auto"/>
                  <w:bottom w:val="nil"/>
                </w:tcBorders>
              </w:tcPr>
              <w:p w:rsidR="00182E90" w:rsidRPr="007D02A0" w:rsidRDefault="00A03B71">
                <w:pPr>
                  <w:spacing w:before="20"/>
                  <w:rPr>
                    <w:sz w:val="18"/>
                    <w:szCs w:val="18"/>
                  </w:rPr>
                </w:pPr>
                <w:r w:rsidRPr="007D02A0">
                  <w:rPr>
                    <w:sz w:val="18"/>
                    <w:szCs w:val="18"/>
                  </w:rPr>
                  <w:t xml:space="preserve">First Name </w:t>
                </w:r>
                <w:r w:rsidR="00075ACD">
                  <w:rPr>
                    <w:sz w:val="18"/>
                    <w:szCs w:val="18"/>
                  </w:rPr>
                  <w:t>–</w:t>
                </w:r>
                <w:r w:rsidR="00075ACD" w:rsidRPr="007D02A0">
                  <w:rPr>
                    <w:sz w:val="18"/>
                    <w:szCs w:val="18"/>
                  </w:rPr>
                  <w:t xml:space="preserve"> </w:t>
                </w:r>
                <w:r w:rsidRPr="007D02A0">
                  <w:rPr>
                    <w:sz w:val="18"/>
                    <w:szCs w:val="18"/>
                  </w:rPr>
                  <w:t>Resident</w:t>
                </w:r>
              </w:p>
            </w:tc>
            <w:tc>
              <w:tcPr>
                <w:tcW w:w="1520" w:type="pct"/>
                <w:tcBorders>
                  <w:top w:val="single" w:sz="4" w:space="0" w:color="auto"/>
                  <w:bottom w:val="nil"/>
                </w:tcBorders>
              </w:tcPr>
              <w:p w:rsidR="00182E90" w:rsidRPr="007D02A0" w:rsidRDefault="00A03B71">
                <w:pPr>
                  <w:spacing w:before="20"/>
                  <w:rPr>
                    <w:sz w:val="18"/>
                    <w:szCs w:val="18"/>
                  </w:rPr>
                </w:pPr>
                <w:r w:rsidRPr="007D02A0">
                  <w:rPr>
                    <w:sz w:val="18"/>
                    <w:szCs w:val="18"/>
                  </w:rPr>
                  <w:t xml:space="preserve">Social Security Number </w:t>
                </w:r>
                <w:r w:rsidR="00075ACD">
                  <w:rPr>
                    <w:sz w:val="18"/>
                    <w:szCs w:val="18"/>
                  </w:rPr>
                  <w:t>–</w:t>
                </w:r>
                <w:r w:rsidR="00075ACD" w:rsidRPr="007D02A0">
                  <w:rPr>
                    <w:sz w:val="18"/>
                    <w:szCs w:val="18"/>
                  </w:rPr>
                  <w:t xml:space="preserve"> </w:t>
                </w:r>
                <w:r w:rsidRPr="007D02A0">
                  <w:rPr>
                    <w:sz w:val="18"/>
                    <w:szCs w:val="18"/>
                  </w:rPr>
                  <w:t>Resident</w:t>
                </w:r>
              </w:p>
            </w:tc>
          </w:tr>
        </w:sdtContent>
      </w:sdt>
      <w:tr w:rsidR="00A30F3B" w:rsidRPr="007D02A0" w:rsidTr="00A30F3B">
        <w:tblPrEx>
          <w:tblBorders>
            <w:left w:val="none" w:sz="0" w:space="0" w:color="auto"/>
            <w:right w:val="none" w:sz="0" w:space="0" w:color="auto"/>
          </w:tblBorders>
        </w:tblPrEx>
        <w:trPr>
          <w:trHeight w:val="360"/>
        </w:trPr>
        <w:tc>
          <w:tcPr>
            <w:tcW w:w="2430" w:type="pct"/>
            <w:tcBorders>
              <w:top w:val="nil"/>
              <w:bottom w:val="single" w:sz="4" w:space="0" w:color="auto"/>
            </w:tcBorders>
          </w:tcPr>
          <w:p w:rsidR="00A30F3B" w:rsidRPr="007D02A0" w:rsidRDefault="00A30F3B" w:rsidP="00A30F3B"/>
        </w:tc>
        <w:tc>
          <w:tcPr>
            <w:tcW w:w="1050" w:type="pct"/>
            <w:gridSpan w:val="2"/>
            <w:tcBorders>
              <w:top w:val="nil"/>
              <w:bottom w:val="single" w:sz="4" w:space="0" w:color="auto"/>
            </w:tcBorders>
          </w:tcPr>
          <w:p w:rsidR="00A30F3B" w:rsidRPr="007D02A0" w:rsidRDefault="00A30F3B" w:rsidP="00A30F3B"/>
        </w:tc>
        <w:tc>
          <w:tcPr>
            <w:tcW w:w="1520" w:type="pct"/>
            <w:tcBorders>
              <w:top w:val="nil"/>
              <w:bottom w:val="single" w:sz="4" w:space="0" w:color="auto"/>
            </w:tcBorders>
          </w:tcPr>
          <w:p w:rsidR="00A30F3B" w:rsidRPr="007D02A0" w:rsidRDefault="00A30F3B" w:rsidP="00A30F3B"/>
        </w:tc>
      </w:tr>
      <w:sdt>
        <w:sdtPr>
          <w:rPr>
            <w:sz w:val="18"/>
            <w:szCs w:val="18"/>
          </w:rPr>
          <w:id w:val="-1073733827"/>
          <w:lock w:val="contentLocked"/>
          <w:placeholder>
            <w:docPart w:val="DefaultPlaceholder_1082065158"/>
          </w:placeholder>
          <w:group/>
        </w:sdtPr>
        <w:sdtContent>
          <w:tr w:rsidR="00A03B71" w:rsidRPr="007D02A0" w:rsidTr="00A30F3B">
            <w:tblPrEx>
              <w:tblBorders>
                <w:left w:val="none" w:sz="0" w:space="0" w:color="auto"/>
                <w:right w:val="none" w:sz="0" w:space="0" w:color="auto"/>
              </w:tblBorders>
            </w:tblPrEx>
            <w:trPr>
              <w:trHeight w:val="20"/>
            </w:trPr>
            <w:tc>
              <w:tcPr>
                <w:tcW w:w="2430" w:type="pct"/>
                <w:tcBorders>
                  <w:bottom w:val="nil"/>
                </w:tcBorders>
              </w:tcPr>
              <w:p w:rsidR="00A03B71" w:rsidRPr="00A30F3B" w:rsidRDefault="00A03B71" w:rsidP="00A30F3B">
                <w:pPr>
                  <w:spacing w:before="20"/>
                  <w:rPr>
                    <w:sz w:val="18"/>
                    <w:szCs w:val="18"/>
                  </w:rPr>
                </w:pPr>
                <w:r w:rsidRPr="007D02A0">
                  <w:rPr>
                    <w:sz w:val="18"/>
                    <w:szCs w:val="18"/>
                  </w:rPr>
                  <w:t>Screen Date</w:t>
                </w:r>
              </w:p>
            </w:tc>
            <w:tc>
              <w:tcPr>
                <w:tcW w:w="2570" w:type="pct"/>
                <w:gridSpan w:val="3"/>
                <w:tcBorders>
                  <w:bottom w:val="nil"/>
                </w:tcBorders>
              </w:tcPr>
              <w:p w:rsidR="00A03B71" w:rsidRPr="00A30F3B" w:rsidRDefault="00A03B71" w:rsidP="00A30F3B">
                <w:pPr>
                  <w:spacing w:before="20"/>
                  <w:rPr>
                    <w:sz w:val="18"/>
                    <w:szCs w:val="18"/>
                  </w:rPr>
                </w:pPr>
                <w:r w:rsidRPr="007D02A0">
                  <w:rPr>
                    <w:sz w:val="18"/>
                    <w:szCs w:val="18"/>
                  </w:rPr>
                  <w:t>Admission Date</w:t>
                </w:r>
              </w:p>
            </w:tc>
          </w:tr>
        </w:sdtContent>
      </w:sdt>
      <w:tr w:rsidR="00A30F3B" w:rsidRPr="007D02A0" w:rsidTr="00A30F3B">
        <w:tblPrEx>
          <w:tblBorders>
            <w:left w:val="none" w:sz="0" w:space="0" w:color="auto"/>
            <w:right w:val="none" w:sz="0" w:space="0" w:color="auto"/>
          </w:tblBorders>
        </w:tblPrEx>
        <w:trPr>
          <w:trHeight w:val="360"/>
        </w:trPr>
        <w:tc>
          <w:tcPr>
            <w:tcW w:w="2430" w:type="pct"/>
            <w:tcBorders>
              <w:top w:val="nil"/>
            </w:tcBorders>
          </w:tcPr>
          <w:p w:rsidR="00A30F3B" w:rsidRPr="007D02A0" w:rsidRDefault="00A30F3B" w:rsidP="00A30F3B"/>
        </w:tc>
        <w:tc>
          <w:tcPr>
            <w:tcW w:w="2570" w:type="pct"/>
            <w:gridSpan w:val="3"/>
            <w:tcBorders>
              <w:top w:val="nil"/>
            </w:tcBorders>
          </w:tcPr>
          <w:p w:rsidR="00A30F3B" w:rsidRPr="007D02A0" w:rsidRDefault="00A30F3B" w:rsidP="00A30F3B"/>
        </w:tc>
      </w:tr>
      <w:sdt>
        <w:sdtPr>
          <w:rPr>
            <w:color w:val="000000"/>
            <w:sz w:val="18"/>
            <w:szCs w:val="18"/>
          </w:rPr>
          <w:id w:val="1363411705"/>
          <w:lock w:val="contentLocked"/>
          <w:placeholder>
            <w:docPart w:val="DefaultPlaceholder_1082065158"/>
          </w:placeholder>
          <w:group/>
        </w:sdtPr>
        <w:sdtEndPr>
          <w:rPr>
            <w:color w:val="auto"/>
            <w:vertAlign w:val="superscript"/>
          </w:rPr>
        </w:sdtEndPr>
        <w:sdtContent>
          <w:tr w:rsidR="00A03B71" w:rsidRPr="007D02A0" w:rsidTr="00D3421D">
            <w:tblPrEx>
              <w:tblBorders>
                <w:left w:val="none" w:sz="0" w:space="0" w:color="auto"/>
                <w:right w:val="none" w:sz="0" w:space="0" w:color="auto"/>
              </w:tblBorders>
            </w:tblPrEx>
            <w:trPr>
              <w:trHeight w:val="1872"/>
            </w:trPr>
            <w:tc>
              <w:tcPr>
                <w:tcW w:w="5000" w:type="pct"/>
                <w:gridSpan w:val="4"/>
              </w:tcPr>
              <w:p w:rsidR="00A03B71" w:rsidRPr="007D02A0" w:rsidRDefault="00A03B71">
                <w:pPr>
                  <w:spacing w:before="20"/>
                  <w:rPr>
                    <w:color w:val="000000"/>
                    <w:sz w:val="18"/>
                    <w:szCs w:val="18"/>
                  </w:rPr>
                </w:pPr>
                <w:r w:rsidRPr="007D02A0">
                  <w:rPr>
                    <w:color w:val="000000"/>
                    <w:sz w:val="18"/>
                    <w:szCs w:val="18"/>
                  </w:rPr>
                  <w:t xml:space="preserve">Preadmission History </w:t>
                </w:r>
                <w:r w:rsidR="00075ACD">
                  <w:rPr>
                    <w:color w:val="000000"/>
                    <w:sz w:val="18"/>
                    <w:szCs w:val="18"/>
                  </w:rPr>
                  <w:t>–</w:t>
                </w:r>
                <w:r w:rsidR="00075ACD" w:rsidRPr="007D02A0">
                  <w:rPr>
                    <w:color w:val="000000"/>
                    <w:sz w:val="18"/>
                    <w:szCs w:val="18"/>
                  </w:rPr>
                  <w:t xml:space="preserve"> </w:t>
                </w:r>
                <w:r w:rsidRPr="007D02A0">
                  <w:rPr>
                    <w:sz w:val="18"/>
                    <w:szCs w:val="18"/>
                  </w:rPr>
                  <w:t>Where was this resident prior to his or her admission to this NF?</w:t>
                </w:r>
              </w:p>
              <w:p w:rsidR="00015A3D" w:rsidRPr="007D02A0" w:rsidRDefault="00A03B71" w:rsidP="00A30F3B">
                <w:pPr>
                  <w:spacing w:after="120"/>
                  <w:rPr>
                    <w:sz w:val="18"/>
                    <w:szCs w:val="18"/>
                  </w:rPr>
                </w:pPr>
                <w:r w:rsidRPr="00D3421D">
                  <w:rPr>
                    <w:b/>
                    <w:sz w:val="18"/>
                    <w:szCs w:val="18"/>
                  </w:rPr>
                  <w:t>Check only one box</w:t>
                </w:r>
                <w:r w:rsidRPr="007D02A0">
                  <w:rPr>
                    <w:i/>
                    <w:sz w:val="18"/>
                    <w:szCs w:val="18"/>
                  </w:rPr>
                  <w:t>.</w:t>
                </w:r>
                <w:r w:rsidRPr="007D02A0">
                  <w:rPr>
                    <w:sz w:val="18"/>
                    <w:szCs w:val="18"/>
                  </w:rPr>
                  <w:t xml:space="preserve"> Multiple responses </w:t>
                </w:r>
                <w:r w:rsidRPr="007D02A0">
                  <w:rPr>
                    <w:sz w:val="18"/>
                  </w:rPr>
                  <w:t>will result in a denial of the reimbursement request.</w:t>
                </w:r>
              </w:p>
              <w:p w:rsidR="00A03B71" w:rsidRPr="007D02A0" w:rsidRDefault="00A30F3B" w:rsidP="00D3421D">
                <w:pPr>
                  <w:tabs>
                    <w:tab w:val="left" w:pos="342"/>
                    <w:tab w:val="left" w:pos="702"/>
                    <w:tab w:val="left" w:pos="1152"/>
                  </w:tabs>
                  <w:spacing w:before="60" w:after="60"/>
                  <w:rPr>
                    <w:sz w:val="18"/>
                    <w:szCs w:val="18"/>
                  </w:rPr>
                </w:pPr>
                <w:sdt>
                  <w:sdtPr>
                    <w:rPr>
                      <w:sz w:val="18"/>
                      <w:szCs w:val="18"/>
                    </w:rPr>
                    <w:id w:val="196300310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A03B71" w:rsidRPr="007D02A0">
                  <w:rPr>
                    <w:sz w:val="18"/>
                    <w:szCs w:val="18"/>
                  </w:rPr>
                  <w:tab/>
                  <w:t>A.</w:t>
                </w:r>
                <w:r w:rsidR="00A03B71" w:rsidRPr="007D02A0">
                  <w:rPr>
                    <w:sz w:val="18"/>
                    <w:szCs w:val="18"/>
                  </w:rPr>
                  <w:tab/>
                  <w:t>A private residence</w:t>
                </w:r>
              </w:p>
              <w:p w:rsidR="00A03B71" w:rsidRPr="007D02A0" w:rsidRDefault="00A30F3B" w:rsidP="00D3421D">
                <w:pPr>
                  <w:tabs>
                    <w:tab w:val="left" w:pos="342"/>
                    <w:tab w:val="left" w:pos="702"/>
                    <w:tab w:val="left" w:pos="1152"/>
                  </w:tabs>
                  <w:spacing w:before="60" w:after="60"/>
                  <w:rPr>
                    <w:sz w:val="18"/>
                    <w:szCs w:val="18"/>
                  </w:rPr>
                </w:pPr>
                <w:sdt>
                  <w:sdtPr>
                    <w:rPr>
                      <w:sz w:val="18"/>
                      <w:szCs w:val="18"/>
                    </w:rPr>
                    <w:id w:val="-110486945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A03B71" w:rsidRPr="007D02A0">
                  <w:rPr>
                    <w:sz w:val="18"/>
                    <w:szCs w:val="18"/>
                  </w:rPr>
                  <w:tab/>
                  <w:t>B.</w:t>
                </w:r>
                <w:r w:rsidR="00A03B71" w:rsidRPr="007D02A0">
                  <w:rPr>
                    <w:sz w:val="18"/>
                    <w:szCs w:val="18"/>
                  </w:rPr>
                  <w:tab/>
                  <w:t>Another Medicaid-certified NF</w:t>
                </w:r>
              </w:p>
              <w:p w:rsidR="00A03B71" w:rsidRPr="007D02A0" w:rsidRDefault="00A30F3B" w:rsidP="00D3421D">
                <w:pPr>
                  <w:tabs>
                    <w:tab w:val="left" w:pos="342"/>
                    <w:tab w:val="left" w:pos="702"/>
                    <w:tab w:val="left" w:pos="1152"/>
                  </w:tabs>
                  <w:spacing w:before="60" w:after="60"/>
                  <w:rPr>
                    <w:sz w:val="18"/>
                    <w:szCs w:val="18"/>
                  </w:rPr>
                </w:pPr>
                <w:sdt>
                  <w:sdtPr>
                    <w:rPr>
                      <w:sz w:val="18"/>
                      <w:szCs w:val="18"/>
                    </w:rPr>
                    <w:id w:val="-203155832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A03B71" w:rsidRPr="007D02A0">
                  <w:rPr>
                    <w:sz w:val="18"/>
                    <w:szCs w:val="18"/>
                  </w:rPr>
                  <w:tab/>
                  <w:t>C.</w:t>
                </w:r>
                <w:r w:rsidR="00A03B71" w:rsidRPr="007D02A0">
                  <w:rPr>
                    <w:sz w:val="18"/>
                    <w:szCs w:val="18"/>
                  </w:rPr>
                  <w:tab/>
                  <w:t xml:space="preserve">Hospital </w:t>
                </w:r>
                <w:r w:rsidR="00075ACD">
                  <w:rPr>
                    <w:sz w:val="18"/>
                    <w:szCs w:val="18"/>
                  </w:rPr>
                  <w:t>–</w:t>
                </w:r>
                <w:r w:rsidR="00075ACD" w:rsidRPr="007D02A0">
                  <w:rPr>
                    <w:sz w:val="18"/>
                    <w:szCs w:val="18"/>
                  </w:rPr>
                  <w:t xml:space="preserve"> </w:t>
                </w:r>
                <w:r w:rsidR="00A03B71" w:rsidRPr="007D02A0">
                  <w:rPr>
                    <w:sz w:val="18"/>
                    <w:szCs w:val="18"/>
                  </w:rPr>
                  <w:t>admitted to the hospital from a private residence</w:t>
                </w:r>
                <w:r w:rsidR="00A03B71" w:rsidRPr="007D02A0">
                  <w:rPr>
                    <w:rFonts w:cs="Arial"/>
                    <w:sz w:val="18"/>
                    <w:szCs w:val="18"/>
                    <w:vertAlign w:val="superscript"/>
                  </w:rPr>
                  <w:t>1</w:t>
                </w:r>
              </w:p>
              <w:p w:rsidR="00A03B71" w:rsidRPr="007D02A0" w:rsidRDefault="00A30F3B" w:rsidP="00D3421D">
                <w:pPr>
                  <w:tabs>
                    <w:tab w:val="left" w:pos="342"/>
                    <w:tab w:val="left" w:pos="702"/>
                    <w:tab w:val="left" w:pos="1152"/>
                  </w:tabs>
                  <w:spacing w:before="60" w:after="60"/>
                  <w:rPr>
                    <w:sz w:val="18"/>
                    <w:szCs w:val="18"/>
                  </w:rPr>
                </w:pPr>
                <w:sdt>
                  <w:sdtPr>
                    <w:rPr>
                      <w:sz w:val="18"/>
                      <w:szCs w:val="18"/>
                    </w:rPr>
                    <w:id w:val="-163339735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A03B71" w:rsidRPr="007D02A0">
                  <w:rPr>
                    <w:sz w:val="18"/>
                    <w:szCs w:val="18"/>
                  </w:rPr>
                  <w:tab/>
                  <w:t>D.</w:t>
                </w:r>
                <w:r w:rsidR="00A03B71" w:rsidRPr="007D02A0">
                  <w:rPr>
                    <w:sz w:val="18"/>
                    <w:szCs w:val="18"/>
                  </w:rPr>
                  <w:tab/>
                  <w:t xml:space="preserve">Hospital </w:t>
                </w:r>
                <w:r w:rsidR="00075ACD">
                  <w:rPr>
                    <w:sz w:val="18"/>
                    <w:szCs w:val="18"/>
                  </w:rPr>
                  <w:t>–</w:t>
                </w:r>
                <w:r w:rsidR="00075ACD" w:rsidRPr="007D02A0">
                  <w:rPr>
                    <w:sz w:val="18"/>
                    <w:szCs w:val="18"/>
                  </w:rPr>
                  <w:t xml:space="preserve"> </w:t>
                </w:r>
                <w:r w:rsidR="00A03B71" w:rsidRPr="007D02A0">
                  <w:rPr>
                    <w:sz w:val="18"/>
                    <w:szCs w:val="18"/>
                  </w:rPr>
                  <w:t>readmission</w:t>
                </w:r>
                <w:r w:rsidR="00A03B71" w:rsidRPr="007D02A0">
                  <w:rPr>
                    <w:sz w:val="18"/>
                    <w:szCs w:val="18"/>
                    <w:vertAlign w:val="superscript"/>
                  </w:rPr>
                  <w:t>2</w:t>
                </w:r>
              </w:p>
              <w:p w:rsidR="00A03B71" w:rsidRPr="007D02A0" w:rsidRDefault="00A30F3B" w:rsidP="00A30F3B">
                <w:pPr>
                  <w:tabs>
                    <w:tab w:val="left" w:pos="342"/>
                    <w:tab w:val="left" w:pos="702"/>
                    <w:tab w:val="left" w:pos="1152"/>
                  </w:tabs>
                  <w:spacing w:before="60" w:after="120"/>
                  <w:rPr>
                    <w:sz w:val="18"/>
                    <w:szCs w:val="18"/>
                  </w:rPr>
                </w:pPr>
                <w:sdt>
                  <w:sdtPr>
                    <w:rPr>
                      <w:sz w:val="18"/>
                      <w:szCs w:val="18"/>
                    </w:rPr>
                    <w:id w:val="3254331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A03B71" w:rsidRPr="007D02A0">
                  <w:rPr>
                    <w:sz w:val="18"/>
                    <w:szCs w:val="18"/>
                  </w:rPr>
                  <w:tab/>
                  <w:t>E.</w:t>
                </w:r>
                <w:r w:rsidR="00A03B71" w:rsidRPr="007D02A0">
                  <w:rPr>
                    <w:sz w:val="18"/>
                    <w:szCs w:val="18"/>
                  </w:rPr>
                  <w:tab/>
                  <w:t xml:space="preserve">Hospital </w:t>
                </w:r>
                <w:r w:rsidR="00075ACD">
                  <w:rPr>
                    <w:sz w:val="18"/>
                    <w:szCs w:val="18"/>
                  </w:rPr>
                  <w:t>–</w:t>
                </w:r>
                <w:r w:rsidR="00075ACD" w:rsidRPr="007D02A0">
                  <w:rPr>
                    <w:sz w:val="18"/>
                    <w:szCs w:val="18"/>
                  </w:rPr>
                  <w:t xml:space="preserve"> </w:t>
                </w:r>
                <w:r w:rsidR="00A03B71" w:rsidRPr="007D02A0">
                  <w:rPr>
                    <w:sz w:val="18"/>
                    <w:szCs w:val="18"/>
                  </w:rPr>
                  <w:t>interfacility transfer</w:t>
                </w:r>
                <w:r w:rsidR="00A03B71" w:rsidRPr="007D02A0">
                  <w:rPr>
                    <w:sz w:val="18"/>
                    <w:szCs w:val="18"/>
                    <w:vertAlign w:val="superscript"/>
                  </w:rPr>
                  <w:t>3</w:t>
                </w:r>
              </w:p>
            </w:tc>
          </w:tr>
        </w:sdtContent>
      </w:sdt>
      <w:sdt>
        <w:sdtPr>
          <w:rPr>
            <w:b/>
            <w:color w:val="000000"/>
            <w:sz w:val="18"/>
            <w:szCs w:val="18"/>
          </w:rPr>
          <w:id w:val="389542494"/>
          <w:lock w:val="contentLocked"/>
          <w:placeholder>
            <w:docPart w:val="DefaultPlaceholder_1082065158"/>
          </w:placeholder>
          <w:group/>
        </w:sdtPr>
        <w:sdtEndPr>
          <w:rPr>
            <w:b w:val="0"/>
            <w:color w:val="auto"/>
          </w:rPr>
        </w:sdtEndPr>
        <w:sdtContent>
          <w:tr w:rsidR="00015A3D" w:rsidRPr="007D02A0" w:rsidTr="00A30F3B">
            <w:tblPrEx>
              <w:tblBorders>
                <w:left w:val="none" w:sz="0" w:space="0" w:color="auto"/>
                <w:right w:val="none" w:sz="0" w:space="0" w:color="auto"/>
              </w:tblBorders>
            </w:tblPrEx>
            <w:trPr>
              <w:trHeight w:val="989"/>
            </w:trPr>
            <w:tc>
              <w:tcPr>
                <w:tcW w:w="5000" w:type="pct"/>
                <w:gridSpan w:val="4"/>
                <w:tcBorders>
                  <w:bottom w:val="single" w:sz="4" w:space="0" w:color="auto"/>
                </w:tcBorders>
                <w:vAlign w:val="center"/>
              </w:tcPr>
              <w:p w:rsidR="00015A3D" w:rsidRPr="003D618B" w:rsidRDefault="00015A3D" w:rsidP="00015A3D">
                <w:pPr>
                  <w:spacing w:before="20"/>
                  <w:rPr>
                    <w:b/>
                    <w:color w:val="000000"/>
                    <w:sz w:val="18"/>
                    <w:szCs w:val="18"/>
                  </w:rPr>
                </w:pPr>
                <w:r w:rsidRPr="003D618B">
                  <w:rPr>
                    <w:b/>
                    <w:color w:val="000000"/>
                    <w:sz w:val="18"/>
                    <w:szCs w:val="18"/>
                  </w:rPr>
                  <w:t>CERTIFICATION</w:t>
                </w:r>
              </w:p>
              <w:p w:rsidR="00015A3D" w:rsidRPr="007D02A0" w:rsidRDefault="00015A3D" w:rsidP="00D3421D">
                <w:pPr>
                  <w:rPr>
                    <w:color w:val="000000"/>
                    <w:sz w:val="18"/>
                    <w:szCs w:val="18"/>
                  </w:rPr>
                </w:pPr>
                <w:r w:rsidRPr="003D618B">
                  <w:rPr>
                    <w:sz w:val="18"/>
                    <w:szCs w:val="18"/>
                  </w:rPr>
                  <w:t>This is to certify that the foregoing information is true, accurate, and complete. I understand that payment and satisfaction of this reimbursement request is from federal and state funds, and that any false claims, statements, documents, or concealment of material fact may be prosecuted under applicable federal or state laws.</w:t>
                </w:r>
              </w:p>
            </w:tc>
          </w:tr>
        </w:sdtContent>
      </w:sdt>
      <w:sdt>
        <w:sdtPr>
          <w:rPr>
            <w:color w:val="000000"/>
            <w:sz w:val="18"/>
            <w:szCs w:val="18"/>
          </w:rPr>
          <w:id w:val="-2092301795"/>
          <w:lock w:val="contentLocked"/>
          <w:placeholder>
            <w:docPart w:val="DefaultPlaceholder_1082065158"/>
          </w:placeholder>
          <w:group/>
        </w:sdtPr>
        <w:sdtContent>
          <w:tr w:rsidR="00015A3D" w:rsidRPr="007D02A0" w:rsidTr="00A30F3B">
            <w:tblPrEx>
              <w:tblBorders>
                <w:left w:val="none" w:sz="0" w:space="0" w:color="auto"/>
                <w:right w:val="none" w:sz="0" w:space="0" w:color="auto"/>
              </w:tblBorders>
            </w:tblPrEx>
            <w:trPr>
              <w:trHeight w:val="20"/>
            </w:trPr>
            <w:tc>
              <w:tcPr>
                <w:tcW w:w="5000" w:type="pct"/>
                <w:gridSpan w:val="4"/>
                <w:tcBorders>
                  <w:bottom w:val="nil"/>
                </w:tcBorders>
              </w:tcPr>
              <w:p w:rsidR="00182E90" w:rsidRPr="00D3421D" w:rsidRDefault="00015A3D">
                <w:pPr>
                  <w:spacing w:before="20"/>
                  <w:rPr>
                    <w:color w:val="000000"/>
                    <w:sz w:val="18"/>
                    <w:szCs w:val="18"/>
                  </w:rPr>
                </w:pPr>
                <w:r w:rsidRPr="007D02A0">
                  <w:rPr>
                    <w:color w:val="000000"/>
                    <w:sz w:val="18"/>
                    <w:szCs w:val="18"/>
                  </w:rPr>
                  <w:t xml:space="preserve">Name and Telephone Number </w:t>
                </w:r>
                <w:r>
                  <w:rPr>
                    <w:color w:val="000000"/>
                    <w:sz w:val="18"/>
                    <w:szCs w:val="18"/>
                  </w:rPr>
                  <w:t>–</w:t>
                </w:r>
                <w:r w:rsidRPr="007D02A0">
                  <w:rPr>
                    <w:color w:val="000000"/>
                    <w:sz w:val="18"/>
                    <w:szCs w:val="18"/>
                  </w:rPr>
                  <w:t xml:space="preserve"> NF Contact</w:t>
                </w:r>
              </w:p>
            </w:tc>
          </w:tr>
        </w:sdtContent>
      </w:sdt>
      <w:tr w:rsidR="00A30F3B" w:rsidRPr="007D02A0" w:rsidTr="00A30F3B">
        <w:tblPrEx>
          <w:tblBorders>
            <w:left w:val="none" w:sz="0" w:space="0" w:color="auto"/>
            <w:right w:val="none" w:sz="0" w:space="0" w:color="auto"/>
          </w:tblBorders>
        </w:tblPrEx>
        <w:trPr>
          <w:trHeight w:val="360"/>
        </w:trPr>
        <w:tc>
          <w:tcPr>
            <w:tcW w:w="5000" w:type="pct"/>
            <w:gridSpan w:val="4"/>
            <w:tcBorders>
              <w:top w:val="nil"/>
            </w:tcBorders>
          </w:tcPr>
          <w:p w:rsidR="00A30F3B" w:rsidRPr="007D02A0" w:rsidRDefault="00A30F3B" w:rsidP="00A30F3B"/>
        </w:tc>
      </w:tr>
      <w:sdt>
        <w:sdtPr>
          <w:rPr>
            <w:b/>
            <w:sz w:val="18"/>
            <w:szCs w:val="18"/>
          </w:rPr>
          <w:id w:val="1723554666"/>
          <w:lock w:val="contentLocked"/>
          <w:placeholder>
            <w:docPart w:val="DefaultPlaceholder_1082065158"/>
          </w:placeholder>
          <w:group/>
        </w:sdtPr>
        <w:sdtEndPr>
          <w:rPr>
            <w:b w:val="0"/>
          </w:rPr>
        </w:sdtEndPr>
        <w:sdtContent>
          <w:tr w:rsidR="00015A3D" w:rsidRPr="007D02A0" w:rsidTr="00A30F3B">
            <w:tblPrEx>
              <w:tblBorders>
                <w:left w:val="none" w:sz="0" w:space="0" w:color="auto"/>
                <w:right w:val="none" w:sz="0" w:space="0" w:color="auto"/>
              </w:tblBorders>
            </w:tblPrEx>
            <w:trPr>
              <w:trHeight w:val="648"/>
            </w:trPr>
            <w:tc>
              <w:tcPr>
                <w:tcW w:w="2958" w:type="pct"/>
                <w:gridSpan w:val="2"/>
                <w:tcBorders>
                  <w:bottom w:val="single" w:sz="4" w:space="0" w:color="auto"/>
                </w:tcBorders>
              </w:tcPr>
              <w:p w:rsidR="00015A3D" w:rsidRPr="003D618B" w:rsidRDefault="00015A3D">
                <w:pPr>
                  <w:spacing w:before="20"/>
                  <w:rPr>
                    <w:b/>
                    <w:color w:val="000000"/>
                    <w:sz w:val="18"/>
                    <w:szCs w:val="18"/>
                  </w:rPr>
                </w:pPr>
                <w:r w:rsidRPr="007D02A0">
                  <w:rPr>
                    <w:b/>
                    <w:sz w:val="18"/>
                    <w:szCs w:val="18"/>
                  </w:rPr>
                  <w:t xml:space="preserve">SIGNATURE </w:t>
                </w:r>
                <w:r>
                  <w:rPr>
                    <w:sz w:val="18"/>
                    <w:szCs w:val="18"/>
                  </w:rPr>
                  <w:t>–</w:t>
                </w:r>
                <w:r w:rsidRPr="007D02A0">
                  <w:rPr>
                    <w:sz w:val="18"/>
                    <w:szCs w:val="18"/>
                  </w:rPr>
                  <w:t xml:space="preserve"> Provider</w:t>
                </w:r>
              </w:p>
            </w:tc>
            <w:tc>
              <w:tcPr>
                <w:tcW w:w="2042" w:type="pct"/>
                <w:gridSpan w:val="2"/>
                <w:tcBorders>
                  <w:bottom w:val="single" w:sz="4" w:space="0" w:color="auto"/>
                </w:tcBorders>
              </w:tcPr>
              <w:p w:rsidR="00182E90" w:rsidRPr="00A30F3B" w:rsidRDefault="00015A3D" w:rsidP="00015A3D">
                <w:pPr>
                  <w:spacing w:before="20"/>
                  <w:rPr>
                    <w:sz w:val="18"/>
                    <w:szCs w:val="18"/>
                  </w:rPr>
                </w:pPr>
                <w:r w:rsidRPr="007D02A0">
                  <w:rPr>
                    <w:sz w:val="18"/>
                    <w:szCs w:val="18"/>
                  </w:rPr>
                  <w:t xml:space="preserve">Date Signed </w:t>
                </w:r>
                <w:r>
                  <w:rPr>
                    <w:sz w:val="18"/>
                    <w:szCs w:val="18"/>
                  </w:rPr>
                  <w:t>–</w:t>
                </w:r>
                <w:r w:rsidRPr="007D02A0">
                  <w:rPr>
                    <w:sz w:val="18"/>
                    <w:szCs w:val="18"/>
                  </w:rPr>
                  <w:t xml:space="preserve"> Provider</w:t>
                </w:r>
              </w:p>
            </w:tc>
          </w:tr>
        </w:sdtContent>
      </w:sdt>
    </w:tbl>
    <w:p w:rsidR="00A03B71" w:rsidRPr="003D618B" w:rsidRDefault="00A03B71" w:rsidP="00D3421D">
      <w:pPr>
        <w:rPr>
          <w:sz w:val="18"/>
          <w:szCs w:val="18"/>
        </w:rPr>
      </w:pPr>
    </w:p>
    <w:sdt>
      <w:sdtPr>
        <w:rPr>
          <w:color w:val="000000"/>
          <w:sz w:val="18"/>
          <w:szCs w:val="18"/>
          <w:vertAlign w:val="superscript"/>
        </w:rPr>
        <w:id w:val="-1127163119"/>
        <w:lock w:val="contentLocked"/>
        <w:placeholder>
          <w:docPart w:val="DefaultPlaceholder_1082065158"/>
        </w:placeholder>
        <w:group/>
      </w:sdtPr>
      <w:sdtEndPr>
        <w:rPr>
          <w:rFonts w:eastAsia="SimSun"/>
          <w:color w:val="auto"/>
          <w:vertAlign w:val="baseline"/>
        </w:rPr>
      </w:sdtEndPr>
      <w:sdtContent>
        <w:p w:rsidR="00A03B71" w:rsidRPr="003D618B" w:rsidRDefault="00A03B71" w:rsidP="00D3421D">
          <w:pPr>
            <w:tabs>
              <w:tab w:val="left" w:pos="180"/>
            </w:tabs>
            <w:ind w:left="187" w:hanging="187"/>
            <w:rPr>
              <w:sz w:val="16"/>
              <w:szCs w:val="16"/>
            </w:rPr>
          </w:pPr>
          <w:r w:rsidRPr="003D618B">
            <w:rPr>
              <w:color w:val="000000"/>
              <w:sz w:val="18"/>
              <w:szCs w:val="18"/>
              <w:vertAlign w:val="superscript"/>
            </w:rPr>
            <w:t>1</w:t>
          </w:r>
          <w:r w:rsidRPr="003D618B">
            <w:rPr>
              <w:color w:val="000000"/>
              <w:sz w:val="18"/>
              <w:szCs w:val="18"/>
              <w:vertAlign w:val="superscript"/>
            </w:rPr>
            <w:tab/>
          </w:r>
          <w:r w:rsidRPr="003D618B">
            <w:rPr>
              <w:color w:val="000000"/>
              <w:sz w:val="18"/>
              <w:szCs w:val="18"/>
            </w:rPr>
            <w:t xml:space="preserve">New Admission </w:t>
          </w:r>
          <w:r w:rsidR="00075ACD">
            <w:rPr>
              <w:color w:val="000000"/>
              <w:sz w:val="18"/>
              <w:szCs w:val="18"/>
            </w:rPr>
            <w:t>–</w:t>
          </w:r>
          <w:r w:rsidR="00075ACD" w:rsidRPr="003D618B">
            <w:rPr>
              <w:sz w:val="18"/>
              <w:szCs w:val="18"/>
            </w:rPr>
            <w:t xml:space="preserve"> </w:t>
          </w:r>
          <w:r w:rsidRPr="003D618B">
            <w:rPr>
              <w:sz w:val="18"/>
              <w:szCs w:val="18"/>
            </w:rPr>
            <w:t>An individual is admitted to an NF from a private residence (e.g., private home, group home, or intermediate care facility-</w:t>
          </w:r>
          <w:r w:rsidR="00017E47">
            <w:rPr>
              <w:sz w:val="18"/>
              <w:szCs w:val="18"/>
            </w:rPr>
            <w:t xml:space="preserve">for </w:t>
          </w:r>
          <w:r w:rsidR="00015A3D">
            <w:rPr>
              <w:sz w:val="18"/>
              <w:szCs w:val="18"/>
            </w:rPr>
            <w:t>individuals</w:t>
          </w:r>
          <w:r w:rsidR="00017E47">
            <w:rPr>
              <w:sz w:val="18"/>
              <w:szCs w:val="18"/>
            </w:rPr>
            <w:t xml:space="preserve"> with intellectual disabilities</w:t>
          </w:r>
          <w:r w:rsidR="006A1885">
            <w:rPr>
              <w:sz w:val="18"/>
              <w:szCs w:val="18"/>
            </w:rPr>
            <w:t xml:space="preserve"> [ICF-II</w:t>
          </w:r>
          <w:bookmarkStart w:id="0" w:name="_GoBack"/>
          <w:bookmarkEnd w:id="0"/>
          <w:r w:rsidR="006A1885">
            <w:rPr>
              <w:sz w:val="18"/>
              <w:szCs w:val="18"/>
            </w:rPr>
            <w:t>D]</w:t>
          </w:r>
          <w:r w:rsidRPr="003D618B">
            <w:rPr>
              <w:sz w:val="18"/>
              <w:szCs w:val="18"/>
            </w:rPr>
            <w:t>) with or without an intervening hospital stay. If an individual transfers to an NF from a hospital, and his or her residence prior to the hospital stay was a private residence, a Level I Screen is required.</w:t>
          </w:r>
        </w:p>
        <w:p w:rsidR="00A03B71" w:rsidRPr="003D618B" w:rsidRDefault="00A03B71" w:rsidP="00A03B71">
          <w:pPr>
            <w:tabs>
              <w:tab w:val="left" w:pos="180"/>
            </w:tabs>
            <w:spacing w:before="60"/>
            <w:ind w:left="187" w:hanging="187"/>
            <w:rPr>
              <w:sz w:val="18"/>
              <w:szCs w:val="18"/>
            </w:rPr>
          </w:pPr>
          <w:r w:rsidRPr="003D618B">
            <w:rPr>
              <w:color w:val="000000"/>
              <w:sz w:val="18"/>
              <w:szCs w:val="18"/>
              <w:vertAlign w:val="superscript"/>
            </w:rPr>
            <w:t>2</w:t>
          </w:r>
          <w:r w:rsidRPr="003D618B">
            <w:rPr>
              <w:color w:val="000000"/>
              <w:sz w:val="18"/>
              <w:szCs w:val="18"/>
              <w:vertAlign w:val="superscript"/>
            </w:rPr>
            <w:tab/>
          </w:r>
          <w:r w:rsidRPr="003D618B">
            <w:rPr>
              <w:color w:val="000000"/>
              <w:sz w:val="18"/>
              <w:szCs w:val="18"/>
            </w:rPr>
            <w:t xml:space="preserve">Readmission </w:t>
          </w:r>
          <w:r w:rsidR="00075ACD">
            <w:rPr>
              <w:color w:val="000000"/>
              <w:sz w:val="18"/>
              <w:szCs w:val="18"/>
            </w:rPr>
            <w:t>–</w:t>
          </w:r>
          <w:r w:rsidR="00075ACD" w:rsidRPr="003D618B">
            <w:rPr>
              <w:sz w:val="18"/>
              <w:szCs w:val="18"/>
            </w:rPr>
            <w:t xml:space="preserve"> </w:t>
          </w:r>
          <w:r w:rsidRPr="003D618B">
            <w:rPr>
              <w:sz w:val="18"/>
              <w:szCs w:val="18"/>
            </w:rPr>
            <w:t xml:space="preserve">An individual is readmitted to an NF from a hospital to which </w:t>
          </w:r>
          <w:r w:rsidR="00015A3D">
            <w:rPr>
              <w:sz w:val="18"/>
              <w:szCs w:val="18"/>
            </w:rPr>
            <w:t>the individual</w:t>
          </w:r>
          <w:r w:rsidRPr="003D618B">
            <w:rPr>
              <w:sz w:val="18"/>
              <w:szCs w:val="18"/>
            </w:rPr>
            <w:t xml:space="preserve"> was transferred for the purpose of receiving care. If the transferring NF considered the resident discharged from the NF during the time </w:t>
          </w:r>
          <w:r w:rsidR="00015A3D">
            <w:rPr>
              <w:sz w:val="18"/>
              <w:szCs w:val="18"/>
            </w:rPr>
            <w:t>the individual</w:t>
          </w:r>
          <w:r w:rsidRPr="003D618B">
            <w:rPr>
              <w:sz w:val="18"/>
              <w:szCs w:val="18"/>
            </w:rPr>
            <w:t xml:space="preserve"> was in the hospital, it is still considered a readmission when that resident transfers back to the NF from the hospital. A new Level I Screen is not required.</w:t>
          </w:r>
        </w:p>
        <w:p w:rsidR="00A03B71" w:rsidRPr="003D618B" w:rsidRDefault="00A03B71" w:rsidP="00D3421D">
          <w:pPr>
            <w:tabs>
              <w:tab w:val="left" w:pos="180"/>
            </w:tabs>
            <w:spacing w:before="60"/>
            <w:ind w:left="180"/>
            <w:rPr>
              <w:sz w:val="18"/>
              <w:szCs w:val="18"/>
            </w:rPr>
          </w:pPr>
          <w:r w:rsidRPr="003D618B">
            <w:rPr>
              <w:sz w:val="18"/>
              <w:szCs w:val="18"/>
            </w:rPr>
            <w:t>If the resident is discharged to a private residence from the hospital but needs to return to the NF at a later time, that would be a “new admission.” A new Level 1 Screen would be required.</w:t>
          </w:r>
        </w:p>
        <w:p w:rsidR="00B42B68" w:rsidRPr="00A03B71" w:rsidRDefault="00A03B71" w:rsidP="00D3421D">
          <w:pPr>
            <w:pStyle w:val="BodyTextforUpdate"/>
            <w:spacing w:before="60" w:line="240" w:lineRule="auto"/>
            <w:ind w:left="187" w:hanging="187"/>
            <w:rPr>
              <w:szCs w:val="28"/>
            </w:rPr>
          </w:pPr>
          <w:r w:rsidRPr="003D618B">
            <w:rPr>
              <w:rFonts w:ascii="Arial" w:hAnsi="Arial"/>
              <w:color w:val="000000"/>
              <w:sz w:val="18"/>
              <w:szCs w:val="18"/>
              <w:vertAlign w:val="superscript"/>
            </w:rPr>
            <w:t>3</w:t>
          </w:r>
          <w:r w:rsidRPr="003D618B">
            <w:rPr>
              <w:rFonts w:ascii="Arial" w:hAnsi="Arial"/>
              <w:color w:val="000000"/>
              <w:sz w:val="18"/>
              <w:szCs w:val="18"/>
              <w:vertAlign w:val="superscript"/>
            </w:rPr>
            <w:tab/>
          </w:r>
          <w:r w:rsidRPr="003D618B">
            <w:rPr>
              <w:rFonts w:ascii="Arial" w:hAnsi="Arial"/>
              <w:color w:val="000000"/>
              <w:sz w:val="18"/>
              <w:szCs w:val="18"/>
            </w:rPr>
            <w:t xml:space="preserve">Interfacility Transfer </w:t>
          </w:r>
          <w:r w:rsidR="00075ACD">
            <w:rPr>
              <w:rFonts w:ascii="Arial" w:hAnsi="Arial"/>
              <w:color w:val="000000"/>
              <w:sz w:val="18"/>
              <w:szCs w:val="18"/>
            </w:rPr>
            <w:t>–</w:t>
          </w:r>
          <w:r w:rsidR="00075ACD" w:rsidRPr="003D618B">
            <w:rPr>
              <w:rFonts w:ascii="Arial" w:hAnsi="Arial"/>
              <w:sz w:val="18"/>
              <w:szCs w:val="18"/>
            </w:rPr>
            <w:t xml:space="preserve"> </w:t>
          </w:r>
          <w:r w:rsidRPr="003D618B">
            <w:rPr>
              <w:rFonts w:ascii="Arial" w:hAnsi="Arial"/>
              <w:sz w:val="18"/>
              <w:szCs w:val="18"/>
            </w:rPr>
            <w:t>An individual is transferred from one NF to another NF, with or without an intervening hospital stay. The admitting NF is not required to perform a new Level I Screen.</w:t>
          </w:r>
        </w:p>
      </w:sdtContent>
    </w:sdt>
    <w:sectPr w:rsidR="00B42B68" w:rsidRPr="00A03B71" w:rsidSect="00A03B71">
      <w:type w:val="continuous"/>
      <w:pgSz w:w="12240" w:h="15840" w:code="1"/>
      <w:pgMar w:top="720" w:right="720" w:bottom="504" w:left="72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E0" w:rsidRDefault="003929E0">
      <w:r>
        <w:separator/>
      </w:r>
    </w:p>
  </w:endnote>
  <w:endnote w:type="continuationSeparator" w:id="0">
    <w:p w:rsidR="003929E0" w:rsidRDefault="0039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E0" w:rsidRDefault="003929E0">
      <w:r>
        <w:separator/>
      </w:r>
    </w:p>
  </w:footnote>
  <w:footnote w:type="continuationSeparator" w:id="0">
    <w:p w:rsidR="003929E0" w:rsidRDefault="00392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68"/>
    <w:rsid w:val="00015A3D"/>
    <w:rsid w:val="00015EA7"/>
    <w:rsid w:val="00017E47"/>
    <w:rsid w:val="00075ACD"/>
    <w:rsid w:val="000B681F"/>
    <w:rsid w:val="00164443"/>
    <w:rsid w:val="00182E90"/>
    <w:rsid w:val="002071E2"/>
    <w:rsid w:val="00257E6B"/>
    <w:rsid w:val="002D71FD"/>
    <w:rsid w:val="00342E48"/>
    <w:rsid w:val="003507B3"/>
    <w:rsid w:val="00351DD1"/>
    <w:rsid w:val="003929E0"/>
    <w:rsid w:val="003B0E65"/>
    <w:rsid w:val="003B5CCD"/>
    <w:rsid w:val="003C58B9"/>
    <w:rsid w:val="00420220"/>
    <w:rsid w:val="00425954"/>
    <w:rsid w:val="005970B3"/>
    <w:rsid w:val="005F1E59"/>
    <w:rsid w:val="006257A1"/>
    <w:rsid w:val="006A1885"/>
    <w:rsid w:val="006A2889"/>
    <w:rsid w:val="00720575"/>
    <w:rsid w:val="00735E98"/>
    <w:rsid w:val="007751C5"/>
    <w:rsid w:val="00790272"/>
    <w:rsid w:val="007D02A0"/>
    <w:rsid w:val="007F363C"/>
    <w:rsid w:val="0080672B"/>
    <w:rsid w:val="00830EAA"/>
    <w:rsid w:val="00852229"/>
    <w:rsid w:val="00854D21"/>
    <w:rsid w:val="00893D1F"/>
    <w:rsid w:val="008D6C30"/>
    <w:rsid w:val="008E1756"/>
    <w:rsid w:val="009D7ACD"/>
    <w:rsid w:val="00A03B71"/>
    <w:rsid w:val="00A30F3B"/>
    <w:rsid w:val="00A4064A"/>
    <w:rsid w:val="00B300B2"/>
    <w:rsid w:val="00B42B68"/>
    <w:rsid w:val="00B52587"/>
    <w:rsid w:val="00B83DB2"/>
    <w:rsid w:val="00BB53F9"/>
    <w:rsid w:val="00C17F6B"/>
    <w:rsid w:val="00C25433"/>
    <w:rsid w:val="00C80730"/>
    <w:rsid w:val="00CA1021"/>
    <w:rsid w:val="00CA74CD"/>
    <w:rsid w:val="00CD7198"/>
    <w:rsid w:val="00D100BA"/>
    <w:rsid w:val="00D33C26"/>
    <w:rsid w:val="00D3421D"/>
    <w:rsid w:val="00D967E0"/>
    <w:rsid w:val="00DF07B1"/>
    <w:rsid w:val="00E10375"/>
    <w:rsid w:val="00E67EA6"/>
    <w:rsid w:val="00E9087A"/>
    <w:rsid w:val="00EA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F3B"/>
    <w:rPr>
      <w:rFonts w:ascii="Arial" w:hAnsi="Arial"/>
      <w:sz w:val="22"/>
    </w:rPr>
  </w:style>
  <w:style w:type="paragraph" w:styleId="Heading2">
    <w:name w:val="heading 2"/>
    <w:basedOn w:val="Normal"/>
    <w:next w:val="Normal"/>
    <w:qFormat/>
    <w:rsid w:val="00B42B68"/>
    <w:pPr>
      <w:keepNext/>
      <w:jc w:val="righ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03B71"/>
    <w:pPr>
      <w:tabs>
        <w:tab w:val="center" w:pos="4153"/>
        <w:tab w:val="right" w:pos="8306"/>
      </w:tabs>
    </w:pPr>
    <w:rPr>
      <w:rFonts w:ascii="Times New Roman" w:hAnsi="Times New Roman"/>
      <w:szCs w:val="24"/>
    </w:rPr>
  </w:style>
  <w:style w:type="paragraph" w:styleId="Footer">
    <w:name w:val="footer"/>
    <w:basedOn w:val="Normal"/>
    <w:rsid w:val="00A03B71"/>
    <w:pPr>
      <w:tabs>
        <w:tab w:val="center" w:pos="4153"/>
        <w:tab w:val="right" w:pos="8306"/>
      </w:tabs>
    </w:pPr>
    <w:rPr>
      <w:rFonts w:ascii="Tahoma" w:hAnsi="Tahoma"/>
      <w:sz w:val="20"/>
      <w:szCs w:val="24"/>
    </w:rPr>
  </w:style>
  <w:style w:type="paragraph" w:customStyle="1" w:styleId="BodyTextforUpdate">
    <w:name w:val="Body Text for Update"/>
    <w:basedOn w:val="Normal"/>
    <w:rsid w:val="00A03B71"/>
    <w:pPr>
      <w:autoSpaceDE w:val="0"/>
      <w:autoSpaceDN w:val="0"/>
      <w:adjustRightInd w:val="0"/>
      <w:spacing w:line="310" w:lineRule="exact"/>
    </w:pPr>
    <w:rPr>
      <w:rFonts w:ascii="Garamond" w:eastAsia="SimSun" w:hAnsi="Garamond"/>
      <w:sz w:val="20"/>
      <w:szCs w:val="22"/>
    </w:rPr>
  </w:style>
  <w:style w:type="paragraph" w:styleId="BalloonText">
    <w:name w:val="Balloon Text"/>
    <w:basedOn w:val="Normal"/>
    <w:link w:val="BalloonTextChar"/>
    <w:rsid w:val="00075ACD"/>
    <w:rPr>
      <w:rFonts w:ascii="Segoe UI" w:hAnsi="Segoe UI" w:cs="Segoe UI"/>
      <w:sz w:val="18"/>
      <w:szCs w:val="18"/>
    </w:rPr>
  </w:style>
  <w:style w:type="character" w:customStyle="1" w:styleId="BalloonTextChar">
    <w:name w:val="Balloon Text Char"/>
    <w:basedOn w:val="DefaultParagraphFont"/>
    <w:link w:val="BalloonText"/>
    <w:rsid w:val="00075ACD"/>
    <w:rPr>
      <w:rFonts w:ascii="Segoe UI" w:hAnsi="Segoe UI" w:cs="Segoe UI"/>
      <w:sz w:val="18"/>
      <w:szCs w:val="18"/>
    </w:rPr>
  </w:style>
  <w:style w:type="character" w:styleId="PlaceholderText">
    <w:name w:val="Placeholder Text"/>
    <w:basedOn w:val="DefaultParagraphFont"/>
    <w:uiPriority w:val="99"/>
    <w:semiHidden/>
    <w:rsid w:val="00A30F3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F3B"/>
    <w:rPr>
      <w:rFonts w:ascii="Arial" w:hAnsi="Arial"/>
      <w:sz w:val="22"/>
    </w:rPr>
  </w:style>
  <w:style w:type="paragraph" w:styleId="Heading2">
    <w:name w:val="heading 2"/>
    <w:basedOn w:val="Normal"/>
    <w:next w:val="Normal"/>
    <w:qFormat/>
    <w:rsid w:val="00B42B68"/>
    <w:pPr>
      <w:keepNext/>
      <w:jc w:val="righ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03B71"/>
    <w:pPr>
      <w:tabs>
        <w:tab w:val="center" w:pos="4153"/>
        <w:tab w:val="right" w:pos="8306"/>
      </w:tabs>
    </w:pPr>
    <w:rPr>
      <w:rFonts w:ascii="Times New Roman" w:hAnsi="Times New Roman"/>
      <w:szCs w:val="24"/>
    </w:rPr>
  </w:style>
  <w:style w:type="paragraph" w:styleId="Footer">
    <w:name w:val="footer"/>
    <w:basedOn w:val="Normal"/>
    <w:rsid w:val="00A03B71"/>
    <w:pPr>
      <w:tabs>
        <w:tab w:val="center" w:pos="4153"/>
        <w:tab w:val="right" w:pos="8306"/>
      </w:tabs>
    </w:pPr>
    <w:rPr>
      <w:rFonts w:ascii="Tahoma" w:hAnsi="Tahoma"/>
      <w:sz w:val="20"/>
      <w:szCs w:val="24"/>
    </w:rPr>
  </w:style>
  <w:style w:type="paragraph" w:customStyle="1" w:styleId="BodyTextforUpdate">
    <w:name w:val="Body Text for Update"/>
    <w:basedOn w:val="Normal"/>
    <w:rsid w:val="00A03B71"/>
    <w:pPr>
      <w:autoSpaceDE w:val="0"/>
      <w:autoSpaceDN w:val="0"/>
      <w:adjustRightInd w:val="0"/>
      <w:spacing w:line="310" w:lineRule="exact"/>
    </w:pPr>
    <w:rPr>
      <w:rFonts w:ascii="Garamond" w:eastAsia="SimSun" w:hAnsi="Garamond"/>
      <w:sz w:val="20"/>
      <w:szCs w:val="22"/>
    </w:rPr>
  </w:style>
  <w:style w:type="paragraph" w:styleId="BalloonText">
    <w:name w:val="Balloon Text"/>
    <w:basedOn w:val="Normal"/>
    <w:link w:val="BalloonTextChar"/>
    <w:rsid w:val="00075ACD"/>
    <w:rPr>
      <w:rFonts w:ascii="Segoe UI" w:hAnsi="Segoe UI" w:cs="Segoe UI"/>
      <w:sz w:val="18"/>
      <w:szCs w:val="18"/>
    </w:rPr>
  </w:style>
  <w:style w:type="character" w:customStyle="1" w:styleId="BalloonTextChar">
    <w:name w:val="Balloon Text Char"/>
    <w:basedOn w:val="DefaultParagraphFont"/>
    <w:link w:val="BalloonText"/>
    <w:rsid w:val="00075ACD"/>
    <w:rPr>
      <w:rFonts w:ascii="Segoe UI" w:hAnsi="Segoe UI" w:cs="Segoe UI"/>
      <w:sz w:val="18"/>
      <w:szCs w:val="18"/>
    </w:rPr>
  </w:style>
  <w:style w:type="character" w:styleId="PlaceholderText">
    <w:name w:val="Placeholder Text"/>
    <w:basedOn w:val="DefaultParagraphFont"/>
    <w:uiPriority w:val="99"/>
    <w:semiHidden/>
    <w:rsid w:val="00A30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B6542F4-610A-43BD-A677-8F5D3D5CFB7A}"/>
      </w:docPartPr>
      <w:docPartBody>
        <w:p w:rsidR="00000000" w:rsidRDefault="00436EBD">
          <w:r w:rsidRPr="003C6B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EBD"/>
    <w:rsid w:val="0043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EB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E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BE75A-4775-4E94-8E21-AB82D800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551</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Reimbursement Request for a PASRR Level I Screen</vt:lpstr>
    </vt:vector>
  </TitlesOfParts>
  <Company>DHS</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Reimbursement Request for a PASRR Level I Screen</dc:title>
  <dc:creator>DHS / DMS / BBM</dc:creator>
  <cp:keywords>f-01012, f01012, reimbursement, request, pasrr, level 1, screen</cp:keywords>
  <cp:lastModifiedBy>Schultz, Lori A</cp:lastModifiedBy>
  <cp:revision>4</cp:revision>
  <cp:lastPrinted>2008-05-05T15:58:00Z</cp:lastPrinted>
  <dcterms:created xsi:type="dcterms:W3CDTF">2017-09-15T12:58:00Z</dcterms:created>
  <dcterms:modified xsi:type="dcterms:W3CDTF">2017-09-15T13:05:00Z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