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Layout w:type="fixed"/>
        <w:tblCellMar>
          <w:left w:w="115" w:type="dxa"/>
          <w:right w:w="115" w:type="dxa"/>
        </w:tblCellMar>
        <w:tblLook w:val="04A0" w:firstRow="1" w:lastRow="0" w:firstColumn="1" w:lastColumn="0" w:noHBand="0" w:noVBand="1"/>
      </w:tblPr>
      <w:tblGrid>
        <w:gridCol w:w="5400"/>
        <w:gridCol w:w="5400"/>
      </w:tblGrid>
      <w:tr w:rsidR="00564392" w:rsidTr="006C09F0">
        <w:trPr>
          <w:trHeight w:val="864"/>
          <w:jc w:val="center"/>
        </w:trPr>
        <w:tc>
          <w:tcPr>
            <w:tcW w:w="5400" w:type="dxa"/>
            <w:tcBorders>
              <w:top w:val="nil"/>
              <w:left w:val="nil"/>
              <w:bottom w:val="nil"/>
              <w:right w:val="nil"/>
            </w:tcBorders>
          </w:tcPr>
          <w:p w:rsidR="00564392" w:rsidRPr="00564392" w:rsidRDefault="00564392" w:rsidP="00564392">
            <w:pPr>
              <w:spacing w:after="0"/>
              <w:rPr>
                <w:b/>
                <w:sz w:val="18"/>
                <w:szCs w:val="18"/>
              </w:rPr>
            </w:pPr>
            <w:r w:rsidRPr="00564392">
              <w:rPr>
                <w:b/>
                <w:sz w:val="18"/>
                <w:szCs w:val="18"/>
              </w:rPr>
              <w:t>DEPARTMENT OF HEALTH SERVICES</w:t>
            </w:r>
          </w:p>
          <w:p w:rsidR="004D139A" w:rsidRDefault="00564392" w:rsidP="004D139A">
            <w:pPr>
              <w:spacing w:after="0"/>
              <w:rPr>
                <w:sz w:val="18"/>
                <w:szCs w:val="18"/>
              </w:rPr>
            </w:pPr>
            <w:r w:rsidRPr="00564392">
              <w:rPr>
                <w:sz w:val="18"/>
                <w:szCs w:val="18"/>
              </w:rPr>
              <w:t xml:space="preserve">Division of </w:t>
            </w:r>
            <w:r w:rsidR="004D139A">
              <w:rPr>
                <w:sz w:val="18"/>
                <w:szCs w:val="18"/>
              </w:rPr>
              <w:t>Public Health</w:t>
            </w:r>
          </w:p>
          <w:p w:rsidR="00564392" w:rsidRDefault="00564392" w:rsidP="00F86ED2">
            <w:pPr>
              <w:spacing w:after="0"/>
            </w:pPr>
            <w:r w:rsidRPr="00564392">
              <w:rPr>
                <w:sz w:val="18"/>
                <w:szCs w:val="18"/>
              </w:rPr>
              <w:t>F-</w:t>
            </w:r>
            <w:r w:rsidR="00F86ED2">
              <w:rPr>
                <w:sz w:val="18"/>
                <w:szCs w:val="18"/>
              </w:rPr>
              <w:t>02842</w:t>
            </w:r>
            <w:r w:rsidRPr="00564392">
              <w:rPr>
                <w:sz w:val="18"/>
                <w:szCs w:val="18"/>
              </w:rPr>
              <w:t xml:space="preserve">  (</w:t>
            </w:r>
            <w:r w:rsidR="006C09F0">
              <w:rPr>
                <w:sz w:val="18"/>
                <w:szCs w:val="18"/>
              </w:rPr>
              <w:t>07</w:t>
            </w:r>
            <w:r w:rsidR="00B043A8">
              <w:rPr>
                <w:sz w:val="18"/>
                <w:szCs w:val="18"/>
              </w:rPr>
              <w:t>/20</w:t>
            </w:r>
            <w:r w:rsidR="001410BF">
              <w:rPr>
                <w:sz w:val="18"/>
                <w:szCs w:val="18"/>
              </w:rPr>
              <w:t>2</w:t>
            </w:r>
            <w:r w:rsidR="004D139A">
              <w:rPr>
                <w:sz w:val="18"/>
                <w:szCs w:val="18"/>
              </w:rPr>
              <w:t>1</w:t>
            </w:r>
            <w:r w:rsidRPr="00564392">
              <w:rPr>
                <w:sz w:val="18"/>
                <w:szCs w:val="18"/>
              </w:rPr>
              <w:t>)</w:t>
            </w:r>
          </w:p>
        </w:tc>
        <w:tc>
          <w:tcPr>
            <w:tcW w:w="5400" w:type="dxa"/>
            <w:tcBorders>
              <w:top w:val="nil"/>
              <w:left w:val="nil"/>
              <w:bottom w:val="nil"/>
              <w:right w:val="nil"/>
            </w:tcBorders>
          </w:tcPr>
          <w:p w:rsidR="00564392" w:rsidRDefault="00564392" w:rsidP="00564392">
            <w:pPr>
              <w:spacing w:after="0"/>
              <w:jc w:val="right"/>
              <w:rPr>
                <w:b/>
                <w:sz w:val="18"/>
              </w:rPr>
            </w:pPr>
            <w:r w:rsidRPr="00564392">
              <w:rPr>
                <w:b/>
                <w:sz w:val="18"/>
              </w:rPr>
              <w:t>STATE OF WISCONSIN</w:t>
            </w:r>
          </w:p>
          <w:p w:rsidR="004D139A" w:rsidRPr="00B3132D" w:rsidRDefault="004D139A" w:rsidP="004D139A">
            <w:pPr>
              <w:spacing w:after="0"/>
              <w:jc w:val="right"/>
              <w:rPr>
                <w:sz w:val="18"/>
              </w:rPr>
            </w:pPr>
            <w:r w:rsidRPr="00B3132D">
              <w:rPr>
                <w:sz w:val="18"/>
              </w:rPr>
              <w:t>Office of Preparedness and Emergency Health Care</w:t>
            </w:r>
          </w:p>
          <w:p w:rsidR="004D139A" w:rsidRPr="00564392" w:rsidRDefault="004D139A" w:rsidP="004D139A">
            <w:pPr>
              <w:spacing w:after="0"/>
              <w:jc w:val="right"/>
              <w:rPr>
                <w:b/>
              </w:rPr>
            </w:pPr>
            <w:r w:rsidRPr="00B3132D">
              <w:rPr>
                <w:sz w:val="18"/>
              </w:rPr>
              <w:t>Wisconsin Technical College System</w:t>
            </w:r>
          </w:p>
        </w:tc>
      </w:tr>
      <w:tr w:rsidR="00564392" w:rsidRPr="00564392" w:rsidTr="00FB5069">
        <w:trPr>
          <w:jc w:val="center"/>
        </w:trPr>
        <w:tc>
          <w:tcPr>
            <w:tcW w:w="10800" w:type="dxa"/>
            <w:gridSpan w:val="2"/>
            <w:tcBorders>
              <w:top w:val="nil"/>
              <w:left w:val="nil"/>
              <w:bottom w:val="nil"/>
              <w:right w:val="nil"/>
            </w:tcBorders>
          </w:tcPr>
          <w:p w:rsidR="00564392" w:rsidRPr="004D139A" w:rsidRDefault="004D139A" w:rsidP="006C09F0">
            <w:pPr>
              <w:spacing w:before="120"/>
              <w:jc w:val="center"/>
              <w:rPr>
                <w:rFonts w:cs="Arial"/>
                <w:b/>
                <w:bCs/>
                <w:szCs w:val="20"/>
              </w:rPr>
            </w:pPr>
            <w:r w:rsidRPr="004D139A">
              <w:rPr>
                <w:rFonts w:cs="Arial"/>
                <w:b/>
                <w:bCs/>
                <w:sz w:val="24"/>
                <w:szCs w:val="20"/>
              </w:rPr>
              <w:t>NREMT CANDIDATE PSYCHOMOTOR EXAMINATION ORIENTATION</w:t>
            </w:r>
          </w:p>
        </w:tc>
      </w:tr>
      <w:tr w:rsidR="001410BF" w:rsidRPr="001410BF" w:rsidTr="00FB5069">
        <w:trPr>
          <w:jc w:val="center"/>
        </w:trPr>
        <w:tc>
          <w:tcPr>
            <w:tcW w:w="10800" w:type="dxa"/>
            <w:gridSpan w:val="2"/>
            <w:tcBorders>
              <w:top w:val="nil"/>
              <w:left w:val="nil"/>
              <w:bottom w:val="nil"/>
              <w:right w:val="nil"/>
            </w:tcBorders>
          </w:tcPr>
          <w:p w:rsidR="006810EC" w:rsidRDefault="006810EC" w:rsidP="006810EC">
            <w:pPr>
              <w:spacing w:after="0"/>
              <w:rPr>
                <w:rFonts w:cs="Arial"/>
                <w:szCs w:val="20"/>
              </w:rPr>
            </w:pPr>
            <w:r w:rsidRPr="00D022B9">
              <w:rPr>
                <w:rFonts w:cs="Arial"/>
                <w:szCs w:val="20"/>
              </w:rPr>
              <w:t>The State of Wisconsin uses the National Registry of Emergency Medical Technicians® (NREMT) cognitive and psychomotor examinations as the state licensing examination for emergency medical practitioners specified in Wis. Stat. § 256.15(6)(a)3 and Wis. Admin Code §</w:t>
            </w:r>
            <w:r>
              <w:rPr>
                <w:rFonts w:cs="Arial"/>
                <w:szCs w:val="20"/>
              </w:rPr>
              <w:t xml:space="preserve"> 110.06(1)(d). </w:t>
            </w:r>
            <w:r w:rsidRPr="00D022B9">
              <w:rPr>
                <w:rFonts w:cs="Arial"/>
                <w:szCs w:val="20"/>
              </w:rPr>
              <w:t xml:space="preserve">This document is intended to prepare candidates to take the State of Wisconsin Emergency Medical Technician (EMT) Psychomotor Examination. This document should be completed by the candidate prior to entrance into the examination. Please read this orientation document carefully and sign below indicating understanding of the examination process. Questions on the examination process may be directed to </w:t>
            </w:r>
            <w:hyperlink r:id="rId7" w:history="1">
              <w:r w:rsidRPr="00D022B9">
                <w:rPr>
                  <w:rStyle w:val="Hyperlink"/>
                  <w:rFonts w:cs="Arial"/>
                  <w:szCs w:val="20"/>
                </w:rPr>
                <w:t>timothy.weir@wtcsystem.edu</w:t>
              </w:r>
            </w:hyperlink>
            <w:r w:rsidRPr="00D022B9">
              <w:rPr>
                <w:rFonts w:cs="Arial"/>
                <w:szCs w:val="20"/>
              </w:rPr>
              <w:t>.</w:t>
            </w:r>
          </w:p>
          <w:p w:rsidR="005A4382" w:rsidRPr="00D022B9" w:rsidRDefault="005A4382" w:rsidP="006810EC">
            <w:pPr>
              <w:spacing w:after="0"/>
              <w:rPr>
                <w:rFonts w:cs="Arial"/>
                <w:szCs w:val="20"/>
              </w:rPr>
            </w:pPr>
          </w:p>
          <w:p w:rsidR="006810EC" w:rsidRPr="00D022B9" w:rsidRDefault="006810EC" w:rsidP="007E1668">
            <w:pPr>
              <w:spacing w:after="60"/>
              <w:rPr>
                <w:rFonts w:cs="Arial"/>
                <w:b/>
                <w:bCs/>
                <w:szCs w:val="20"/>
              </w:rPr>
            </w:pPr>
            <w:r w:rsidRPr="00D022B9">
              <w:rPr>
                <w:rFonts w:cs="Arial"/>
                <w:b/>
                <w:bCs/>
                <w:szCs w:val="20"/>
              </w:rPr>
              <w:t>Overview of the Examination</w:t>
            </w:r>
          </w:p>
          <w:p w:rsidR="006810EC" w:rsidRPr="00D022B9" w:rsidRDefault="006810EC" w:rsidP="006810EC">
            <w:pPr>
              <w:spacing w:after="0"/>
              <w:rPr>
                <w:rFonts w:cs="Arial"/>
                <w:szCs w:val="20"/>
              </w:rPr>
            </w:pPr>
            <w:r w:rsidRPr="00D022B9">
              <w:rPr>
                <w:rFonts w:cs="Arial"/>
                <w:szCs w:val="20"/>
              </w:rPr>
              <w:t>The psychomotor examination is a three-station examination required to be successfully completed as part of NREMT certification process. The three stations and time limits are as follows:</w:t>
            </w:r>
          </w:p>
          <w:p w:rsidR="006810EC" w:rsidRPr="00D022B9" w:rsidRDefault="006810EC" w:rsidP="006C09F0">
            <w:pPr>
              <w:pStyle w:val="ListParagraph"/>
              <w:numPr>
                <w:ilvl w:val="0"/>
                <w:numId w:val="1"/>
              </w:numPr>
              <w:spacing w:after="0"/>
              <w:ind w:left="332"/>
              <w:rPr>
                <w:rFonts w:ascii="Arial" w:hAnsi="Arial" w:cs="Arial"/>
                <w:b/>
                <w:bCs/>
                <w:sz w:val="20"/>
                <w:szCs w:val="20"/>
              </w:rPr>
            </w:pPr>
            <w:r w:rsidRPr="00D022B9">
              <w:rPr>
                <w:rFonts w:ascii="Arial" w:hAnsi="Arial" w:cs="Arial"/>
                <w:b/>
                <w:bCs/>
                <w:sz w:val="20"/>
                <w:szCs w:val="20"/>
              </w:rPr>
              <w:t xml:space="preserve">Pediatric </w:t>
            </w:r>
            <w:r w:rsidRPr="00D022B9">
              <w:rPr>
                <w:rFonts w:ascii="Arial" w:hAnsi="Arial" w:cs="Arial"/>
                <w:b/>
                <w:bCs/>
                <w:color w:val="000000" w:themeColor="text1"/>
                <w:sz w:val="20"/>
                <w:szCs w:val="20"/>
              </w:rPr>
              <w:t>Patient</w:t>
            </w:r>
            <w:r w:rsidRPr="00D022B9">
              <w:rPr>
                <w:rFonts w:ascii="Arial" w:hAnsi="Arial" w:cs="Arial"/>
                <w:b/>
                <w:bCs/>
                <w:color w:val="FF0000"/>
                <w:sz w:val="20"/>
                <w:szCs w:val="20"/>
              </w:rPr>
              <w:t xml:space="preserve"> </w:t>
            </w:r>
            <w:r w:rsidRPr="00D022B9">
              <w:rPr>
                <w:rFonts w:ascii="Arial" w:hAnsi="Arial" w:cs="Arial"/>
                <w:b/>
                <w:bCs/>
                <w:sz w:val="20"/>
                <w:szCs w:val="20"/>
              </w:rPr>
              <w:t xml:space="preserve">Assessment (Medical or Trauma) </w:t>
            </w:r>
            <w:r w:rsidR="00D62BB4">
              <w:rPr>
                <w:rFonts w:ascii="Arial" w:hAnsi="Arial" w:cs="Arial"/>
                <w:b/>
                <w:bCs/>
                <w:sz w:val="20"/>
                <w:szCs w:val="20"/>
              </w:rPr>
              <w:t>—</w:t>
            </w:r>
            <w:r w:rsidRPr="00D022B9">
              <w:rPr>
                <w:rFonts w:ascii="Arial" w:hAnsi="Arial" w:cs="Arial"/>
                <w:b/>
                <w:bCs/>
                <w:sz w:val="20"/>
                <w:szCs w:val="20"/>
              </w:rPr>
              <w:t xml:space="preserve"> 12 minutes</w:t>
            </w:r>
          </w:p>
          <w:p w:rsidR="006810EC" w:rsidRPr="00D022B9" w:rsidRDefault="006810EC" w:rsidP="006C09F0">
            <w:pPr>
              <w:pStyle w:val="ListParagraph"/>
              <w:numPr>
                <w:ilvl w:val="0"/>
                <w:numId w:val="1"/>
              </w:numPr>
              <w:spacing w:after="0"/>
              <w:ind w:left="332"/>
              <w:rPr>
                <w:rFonts w:ascii="Arial" w:hAnsi="Arial" w:cs="Arial"/>
                <w:b/>
                <w:bCs/>
                <w:sz w:val="20"/>
                <w:szCs w:val="20"/>
              </w:rPr>
            </w:pPr>
            <w:r w:rsidRPr="00D022B9">
              <w:rPr>
                <w:rFonts w:ascii="Arial" w:hAnsi="Arial" w:cs="Arial"/>
                <w:b/>
                <w:bCs/>
                <w:sz w:val="20"/>
                <w:szCs w:val="20"/>
              </w:rPr>
              <w:t xml:space="preserve">Adult Patient Assessment (Medical or Trauma) </w:t>
            </w:r>
            <w:r w:rsidR="00D62BB4">
              <w:rPr>
                <w:rFonts w:ascii="Arial" w:hAnsi="Arial" w:cs="Arial"/>
                <w:b/>
                <w:bCs/>
                <w:sz w:val="20"/>
                <w:szCs w:val="20"/>
              </w:rPr>
              <w:t>—</w:t>
            </w:r>
            <w:r w:rsidRPr="00D022B9">
              <w:rPr>
                <w:rFonts w:ascii="Arial" w:hAnsi="Arial" w:cs="Arial"/>
                <w:b/>
                <w:bCs/>
                <w:sz w:val="20"/>
                <w:szCs w:val="20"/>
              </w:rPr>
              <w:t xml:space="preserve"> 12 minutes</w:t>
            </w:r>
          </w:p>
          <w:p w:rsidR="001410BF" w:rsidRPr="006810EC" w:rsidRDefault="006810EC" w:rsidP="006C09F0">
            <w:pPr>
              <w:pStyle w:val="ListParagraph"/>
              <w:numPr>
                <w:ilvl w:val="0"/>
                <w:numId w:val="1"/>
              </w:numPr>
              <w:spacing w:after="60"/>
              <w:ind w:left="332"/>
              <w:rPr>
                <w:rFonts w:ascii="Arial" w:hAnsi="Arial" w:cs="Arial"/>
                <w:b/>
                <w:bCs/>
                <w:sz w:val="20"/>
                <w:szCs w:val="20"/>
              </w:rPr>
            </w:pPr>
            <w:r w:rsidRPr="00D022B9">
              <w:rPr>
                <w:rFonts w:ascii="Arial" w:hAnsi="Arial" w:cs="Arial"/>
                <w:b/>
                <w:bCs/>
                <w:sz w:val="20"/>
                <w:szCs w:val="20"/>
              </w:rPr>
              <w:t xml:space="preserve">Geriatric Patient Assessment (Medical or Trauma) </w:t>
            </w:r>
            <w:r w:rsidR="00D62BB4">
              <w:rPr>
                <w:rFonts w:ascii="Arial" w:hAnsi="Arial" w:cs="Arial"/>
                <w:b/>
                <w:bCs/>
                <w:sz w:val="20"/>
                <w:szCs w:val="20"/>
              </w:rPr>
              <w:t>—</w:t>
            </w:r>
            <w:r w:rsidRPr="00D022B9">
              <w:rPr>
                <w:rFonts w:ascii="Arial" w:hAnsi="Arial" w:cs="Arial"/>
                <w:b/>
                <w:bCs/>
                <w:sz w:val="20"/>
                <w:szCs w:val="20"/>
              </w:rPr>
              <w:t xml:space="preserve"> 12 minutes</w:t>
            </w:r>
          </w:p>
        </w:tc>
      </w:tr>
      <w:tr w:rsidR="004D139A" w:rsidRPr="001410BF" w:rsidTr="00FB5069">
        <w:trPr>
          <w:jc w:val="center"/>
        </w:trPr>
        <w:tc>
          <w:tcPr>
            <w:tcW w:w="10800" w:type="dxa"/>
            <w:gridSpan w:val="2"/>
            <w:tcBorders>
              <w:top w:val="nil"/>
              <w:left w:val="nil"/>
              <w:bottom w:val="nil"/>
              <w:right w:val="nil"/>
            </w:tcBorders>
          </w:tcPr>
          <w:p w:rsidR="004D139A" w:rsidRPr="001410BF" w:rsidRDefault="006810EC" w:rsidP="00843791">
            <w:pPr>
              <w:rPr>
                <w:sz w:val="18"/>
                <w:szCs w:val="18"/>
              </w:rPr>
            </w:pPr>
            <w:r w:rsidRPr="00D022B9">
              <w:rPr>
                <w:rFonts w:cs="Arial"/>
                <w:szCs w:val="20"/>
              </w:rPr>
              <w:t xml:space="preserve">Candidates </w:t>
            </w:r>
            <w:r w:rsidR="00843791">
              <w:rPr>
                <w:rFonts w:cs="Arial"/>
                <w:szCs w:val="20"/>
              </w:rPr>
              <w:t>must</w:t>
            </w:r>
            <w:r w:rsidRPr="00D022B9">
              <w:rPr>
                <w:rFonts w:cs="Arial"/>
                <w:szCs w:val="20"/>
              </w:rPr>
              <w:t xml:space="preserve"> complete </w:t>
            </w:r>
            <w:r w:rsidRPr="00D022B9">
              <w:rPr>
                <w:rFonts w:cs="Arial"/>
                <w:color w:val="000000" w:themeColor="text1"/>
                <w:szCs w:val="20"/>
              </w:rPr>
              <w:t xml:space="preserve">all three </w:t>
            </w:r>
            <w:r w:rsidRPr="00D022B9">
              <w:rPr>
                <w:rFonts w:cs="Arial"/>
                <w:szCs w:val="20"/>
              </w:rPr>
              <w:t>stations. Candidates will be allowed up to five minutes at each station to orientate themselves to the station equipment and ask questions prior to beginning. Sufficient breaks in between stations will be granted to allow for successful completion of the examination process.</w:t>
            </w:r>
          </w:p>
        </w:tc>
      </w:tr>
      <w:tr w:rsidR="004D139A" w:rsidRPr="001410BF" w:rsidTr="00FB5069">
        <w:trPr>
          <w:trHeight w:val="972"/>
          <w:jc w:val="center"/>
        </w:trPr>
        <w:tc>
          <w:tcPr>
            <w:tcW w:w="10800" w:type="dxa"/>
            <w:gridSpan w:val="2"/>
            <w:tcBorders>
              <w:top w:val="nil"/>
              <w:left w:val="nil"/>
              <w:bottom w:val="nil"/>
              <w:right w:val="nil"/>
            </w:tcBorders>
          </w:tcPr>
          <w:p w:rsidR="006810EC" w:rsidRPr="00D022B9" w:rsidRDefault="006810EC" w:rsidP="007E1668">
            <w:pPr>
              <w:spacing w:after="60"/>
              <w:rPr>
                <w:rFonts w:cs="Arial"/>
                <w:b/>
                <w:bCs/>
                <w:szCs w:val="20"/>
              </w:rPr>
            </w:pPr>
            <w:r w:rsidRPr="00D022B9">
              <w:rPr>
                <w:rFonts w:cs="Arial"/>
                <w:b/>
                <w:bCs/>
                <w:szCs w:val="20"/>
              </w:rPr>
              <w:t xml:space="preserve">Registration Process </w:t>
            </w:r>
          </w:p>
          <w:p w:rsidR="004D139A" w:rsidRPr="001410BF" w:rsidRDefault="006810EC" w:rsidP="000D214F">
            <w:pPr>
              <w:rPr>
                <w:sz w:val="18"/>
                <w:szCs w:val="18"/>
              </w:rPr>
            </w:pPr>
            <w:r w:rsidRPr="00D022B9">
              <w:rPr>
                <w:rFonts w:cs="Arial"/>
                <w:szCs w:val="20"/>
              </w:rPr>
              <w:t>Candidates are required to be present 15 minutes prior to their scheduled examination times. Candidates must have the following items to be allowed into the examination. A candidate’s training center may collect these documents from their own candidates prior to the examination; however, it is ultimately the candidate’s responsibility to provide them</w:t>
            </w:r>
            <w:r>
              <w:rPr>
                <w:rFonts w:cs="Arial"/>
                <w:szCs w:val="20"/>
              </w:rPr>
              <w:t>.</w:t>
            </w:r>
          </w:p>
        </w:tc>
      </w:tr>
      <w:tr w:rsidR="004D139A" w:rsidRPr="00D62BB4" w:rsidTr="00FB5069">
        <w:trPr>
          <w:jc w:val="center"/>
        </w:trPr>
        <w:tc>
          <w:tcPr>
            <w:tcW w:w="10800" w:type="dxa"/>
            <w:gridSpan w:val="2"/>
            <w:tcBorders>
              <w:top w:val="nil"/>
              <w:left w:val="nil"/>
              <w:bottom w:val="nil"/>
              <w:right w:val="nil"/>
            </w:tcBorders>
          </w:tcPr>
          <w:p w:rsidR="000D214F" w:rsidRPr="00D62BB4" w:rsidRDefault="000D214F" w:rsidP="006C09F0">
            <w:pPr>
              <w:pStyle w:val="ListParagraph"/>
              <w:numPr>
                <w:ilvl w:val="0"/>
                <w:numId w:val="2"/>
              </w:numPr>
              <w:spacing w:after="0"/>
              <w:ind w:left="332"/>
              <w:rPr>
                <w:rFonts w:ascii="Arial" w:hAnsi="Arial" w:cs="Arial"/>
                <w:sz w:val="20"/>
                <w:szCs w:val="20"/>
              </w:rPr>
            </w:pPr>
            <w:r w:rsidRPr="00D62BB4">
              <w:rPr>
                <w:rFonts w:ascii="Arial" w:hAnsi="Arial" w:cs="Arial"/>
                <w:sz w:val="20"/>
                <w:szCs w:val="20"/>
              </w:rPr>
              <w:t>State-approved photo identification (current driver’s license or photo identification card issued by Wisconsin or another state or United States territory, current United States military identification, or a current United States passport)</w:t>
            </w:r>
          </w:p>
          <w:p w:rsidR="000D214F" w:rsidRPr="00D62BB4" w:rsidRDefault="000D214F" w:rsidP="006C09F0">
            <w:pPr>
              <w:pStyle w:val="ListParagraph"/>
              <w:numPr>
                <w:ilvl w:val="0"/>
                <w:numId w:val="2"/>
              </w:numPr>
              <w:spacing w:after="0"/>
              <w:ind w:left="332"/>
              <w:rPr>
                <w:rFonts w:ascii="Arial" w:hAnsi="Arial" w:cs="Arial"/>
                <w:sz w:val="20"/>
                <w:szCs w:val="20"/>
              </w:rPr>
            </w:pPr>
            <w:r w:rsidRPr="00D62BB4">
              <w:rPr>
                <w:rFonts w:ascii="Arial" w:hAnsi="Arial" w:cs="Arial"/>
                <w:sz w:val="20"/>
                <w:szCs w:val="20"/>
              </w:rPr>
              <w:t xml:space="preserve">Completed Psychomotor Examination Results Summary (PERS) Form </w:t>
            </w:r>
          </w:p>
          <w:p w:rsidR="000D214F" w:rsidRPr="00D62BB4" w:rsidRDefault="000D214F" w:rsidP="006C09F0">
            <w:pPr>
              <w:pStyle w:val="ListParagraph"/>
              <w:numPr>
                <w:ilvl w:val="0"/>
                <w:numId w:val="2"/>
              </w:numPr>
              <w:spacing w:after="0"/>
              <w:ind w:left="332"/>
              <w:rPr>
                <w:rFonts w:ascii="Arial" w:hAnsi="Arial" w:cs="Arial"/>
                <w:sz w:val="20"/>
                <w:szCs w:val="20"/>
              </w:rPr>
            </w:pPr>
            <w:r w:rsidRPr="00D62BB4">
              <w:rPr>
                <w:rFonts w:ascii="Arial" w:hAnsi="Arial" w:cs="Arial"/>
                <w:sz w:val="20"/>
                <w:szCs w:val="20"/>
              </w:rPr>
              <w:t xml:space="preserve">NREMT Candidate Orientation Form </w:t>
            </w:r>
          </w:p>
          <w:p w:rsidR="004D139A" w:rsidRPr="00D62BB4" w:rsidRDefault="000D214F" w:rsidP="006C09F0">
            <w:pPr>
              <w:pStyle w:val="ListParagraph"/>
              <w:numPr>
                <w:ilvl w:val="0"/>
                <w:numId w:val="2"/>
              </w:numPr>
              <w:spacing w:after="120"/>
              <w:ind w:left="332"/>
              <w:rPr>
                <w:rFonts w:ascii="Arial" w:hAnsi="Arial" w:cs="Arial"/>
                <w:sz w:val="20"/>
                <w:szCs w:val="20"/>
              </w:rPr>
            </w:pPr>
            <w:r w:rsidRPr="00D62BB4">
              <w:rPr>
                <w:rFonts w:ascii="Arial" w:hAnsi="Arial" w:cs="Arial"/>
                <w:sz w:val="20"/>
                <w:szCs w:val="20"/>
              </w:rPr>
              <w:t>NREMT Authorization to Test (ATT) Letter</w:t>
            </w:r>
          </w:p>
        </w:tc>
      </w:tr>
      <w:tr w:rsidR="004D139A" w:rsidRPr="00D62BB4" w:rsidTr="00FB5069">
        <w:trPr>
          <w:jc w:val="center"/>
        </w:trPr>
        <w:tc>
          <w:tcPr>
            <w:tcW w:w="10800" w:type="dxa"/>
            <w:gridSpan w:val="2"/>
            <w:tcBorders>
              <w:top w:val="nil"/>
              <w:left w:val="nil"/>
              <w:bottom w:val="nil"/>
              <w:right w:val="nil"/>
            </w:tcBorders>
          </w:tcPr>
          <w:p w:rsidR="000D214F" w:rsidRPr="00D62BB4" w:rsidRDefault="000D214F" w:rsidP="007E1668">
            <w:pPr>
              <w:spacing w:after="60"/>
              <w:rPr>
                <w:rFonts w:cs="Arial"/>
                <w:b/>
                <w:bCs/>
                <w:szCs w:val="20"/>
              </w:rPr>
            </w:pPr>
            <w:r w:rsidRPr="00D62BB4">
              <w:rPr>
                <w:rFonts w:cs="Arial"/>
                <w:b/>
                <w:bCs/>
                <w:szCs w:val="20"/>
              </w:rPr>
              <w:t>Expectations of the NREMT Candidate</w:t>
            </w:r>
          </w:p>
          <w:p w:rsidR="004D139A" w:rsidRPr="00D62BB4" w:rsidRDefault="000D214F" w:rsidP="000D214F">
            <w:pPr>
              <w:rPr>
                <w:szCs w:val="20"/>
              </w:rPr>
            </w:pPr>
            <w:r w:rsidRPr="00D62BB4">
              <w:rPr>
                <w:rFonts w:cs="Arial"/>
                <w:szCs w:val="20"/>
              </w:rPr>
              <w:t>This is a professional certification examination. Candidates are expected to conduct themselves accordingly. This includes, but is not limited to, arriving at the examination location on time with all the required materials, dressing in a professional manner, and conducting oneself in an honest and professional manner throughout the examination process. Conduct deemed inappropriate may result in removal from the examination process or invalidation or nullification of the examination results. Further, it is understood that no personal electronic devices are allowed into the examination site.</w:t>
            </w:r>
          </w:p>
        </w:tc>
      </w:tr>
      <w:tr w:rsidR="004D139A" w:rsidRPr="00D62BB4" w:rsidTr="00FB5069">
        <w:trPr>
          <w:jc w:val="center"/>
        </w:trPr>
        <w:tc>
          <w:tcPr>
            <w:tcW w:w="10800" w:type="dxa"/>
            <w:gridSpan w:val="2"/>
            <w:tcBorders>
              <w:top w:val="nil"/>
              <w:left w:val="nil"/>
              <w:bottom w:val="nil"/>
              <w:right w:val="nil"/>
            </w:tcBorders>
          </w:tcPr>
          <w:p w:rsidR="000D214F" w:rsidRPr="00D62BB4" w:rsidRDefault="000D214F" w:rsidP="007E1668">
            <w:pPr>
              <w:spacing w:after="60"/>
              <w:rPr>
                <w:rFonts w:cs="Arial"/>
                <w:b/>
                <w:bCs/>
                <w:szCs w:val="20"/>
              </w:rPr>
            </w:pPr>
            <w:r w:rsidRPr="00D62BB4">
              <w:rPr>
                <w:rFonts w:cs="Arial"/>
                <w:b/>
                <w:bCs/>
                <w:szCs w:val="20"/>
              </w:rPr>
              <w:t>Conflicts of Interest/Discrimination</w:t>
            </w:r>
          </w:p>
          <w:p w:rsidR="000D214F" w:rsidRPr="00D62BB4" w:rsidRDefault="000D214F" w:rsidP="006C09F0">
            <w:pPr>
              <w:rPr>
                <w:rFonts w:cs="Arial"/>
                <w:szCs w:val="20"/>
              </w:rPr>
            </w:pPr>
            <w:r w:rsidRPr="00D62BB4">
              <w:rPr>
                <w:rFonts w:cs="Arial"/>
                <w:szCs w:val="20"/>
              </w:rPr>
              <w:t>Any conflicts of interest and/or concerns regarding discrimination must be communicated to the NREMT examination staff immediately. Any perceived conflicts of interest should be made known prior to the examination process beginning. Discrimination concerns must be made before leaving the examination site.</w:t>
            </w:r>
          </w:p>
          <w:p w:rsidR="004D139A" w:rsidRPr="00D62BB4" w:rsidRDefault="000D214F" w:rsidP="00FA3B0E">
            <w:pPr>
              <w:rPr>
                <w:szCs w:val="20"/>
              </w:rPr>
            </w:pPr>
            <w:r w:rsidRPr="00D62BB4">
              <w:rPr>
                <w:rFonts w:cs="Arial"/>
                <w:szCs w:val="20"/>
              </w:rPr>
              <w:t xml:space="preserve">All candidates must complete a </w:t>
            </w:r>
            <w:r w:rsidRPr="00D62BB4">
              <w:rPr>
                <w:rFonts w:cs="Arial"/>
                <w:color w:val="000000" w:themeColor="text1"/>
                <w:szCs w:val="20"/>
              </w:rPr>
              <w:t>NREMT Psychomotor Examination Affirmation Form prior to receiving their examination results. As part of the NREMT Psychomotor Examination Affirmation Form, candidates will be given a final opportunity to put any concerns in writing prior to receiving their examination results. The conflict of interest or discrimination concerns will then be addressed by the examiner designee. If a candidate does not make any conflict of interest or discrimination concerns known to the examiner designee prior to receiving examination results, the candidate will have no further recourse.</w:t>
            </w:r>
          </w:p>
        </w:tc>
      </w:tr>
      <w:tr w:rsidR="004D139A" w:rsidRPr="00D62BB4" w:rsidTr="00FB5069">
        <w:trPr>
          <w:jc w:val="center"/>
        </w:trPr>
        <w:tc>
          <w:tcPr>
            <w:tcW w:w="10800" w:type="dxa"/>
            <w:gridSpan w:val="2"/>
            <w:tcBorders>
              <w:top w:val="nil"/>
              <w:left w:val="nil"/>
              <w:bottom w:val="nil"/>
              <w:right w:val="nil"/>
            </w:tcBorders>
          </w:tcPr>
          <w:p w:rsidR="005A4382" w:rsidRPr="00D62BB4" w:rsidRDefault="005A4382" w:rsidP="007E1668">
            <w:pPr>
              <w:spacing w:after="60"/>
              <w:rPr>
                <w:rFonts w:cs="Arial"/>
                <w:b/>
                <w:bCs/>
                <w:szCs w:val="20"/>
              </w:rPr>
            </w:pPr>
            <w:r w:rsidRPr="00D62BB4">
              <w:rPr>
                <w:rFonts w:cs="Arial"/>
                <w:b/>
                <w:bCs/>
                <w:szCs w:val="20"/>
              </w:rPr>
              <w:t>Station Equipment and Reference Materials</w:t>
            </w:r>
          </w:p>
          <w:p w:rsidR="004D139A" w:rsidRPr="00D62BB4" w:rsidRDefault="00843791" w:rsidP="006C09F0">
            <w:pPr>
              <w:rPr>
                <w:rFonts w:cs="Arial"/>
                <w:szCs w:val="20"/>
              </w:rPr>
            </w:pPr>
            <w:r w:rsidRPr="00D62BB4">
              <w:rPr>
                <w:rFonts w:cs="Arial"/>
                <w:szCs w:val="20"/>
              </w:rPr>
              <w:t>The only reference material allowed to a candidate is the approved out-of-hospital scenario reference guide</w:t>
            </w:r>
            <w:r w:rsidR="00085352" w:rsidRPr="00D62BB4">
              <w:rPr>
                <w:rFonts w:cs="Arial"/>
                <w:szCs w:val="20"/>
              </w:rPr>
              <w:t xml:space="preserve"> available from the Wisconsin Technical College System</w:t>
            </w:r>
            <w:r w:rsidR="00F3002F" w:rsidRPr="00D62BB4">
              <w:rPr>
                <w:rFonts w:cs="Arial"/>
                <w:szCs w:val="20"/>
              </w:rPr>
              <w:t>. The reference guide</w:t>
            </w:r>
            <w:r w:rsidRPr="00D62BB4">
              <w:rPr>
                <w:rFonts w:cs="Arial"/>
                <w:szCs w:val="20"/>
              </w:rPr>
              <w:t xml:space="preserve"> is to be provided by the host examination site. Candidates may be allowed to take notes during an examination station on blank paper provided by the examination host site, but any notes taken must be left with the station evaluator at the end of that station.</w:t>
            </w:r>
            <w:r w:rsidR="005A4382" w:rsidRPr="00D62BB4">
              <w:rPr>
                <w:rFonts w:cs="Arial"/>
                <w:szCs w:val="20"/>
              </w:rPr>
              <w:t xml:space="preserve"> </w:t>
            </w:r>
          </w:p>
        </w:tc>
      </w:tr>
      <w:tr w:rsidR="004D139A" w:rsidRPr="00D62BB4" w:rsidTr="00FB5069">
        <w:trPr>
          <w:jc w:val="center"/>
        </w:trPr>
        <w:tc>
          <w:tcPr>
            <w:tcW w:w="10800" w:type="dxa"/>
            <w:gridSpan w:val="2"/>
            <w:tcBorders>
              <w:top w:val="nil"/>
              <w:left w:val="nil"/>
              <w:bottom w:val="nil"/>
              <w:right w:val="nil"/>
            </w:tcBorders>
          </w:tcPr>
          <w:p w:rsidR="005A4382" w:rsidRPr="00D62BB4" w:rsidRDefault="005A4382" w:rsidP="00D62BB4">
            <w:pPr>
              <w:pageBreakBefore/>
              <w:spacing w:after="60"/>
              <w:rPr>
                <w:rFonts w:cs="Arial"/>
                <w:b/>
                <w:bCs/>
                <w:szCs w:val="20"/>
              </w:rPr>
            </w:pPr>
            <w:r w:rsidRPr="00D62BB4">
              <w:rPr>
                <w:rFonts w:cs="Arial"/>
                <w:b/>
                <w:bCs/>
                <w:szCs w:val="20"/>
              </w:rPr>
              <w:lastRenderedPageBreak/>
              <w:t>Examination Scoring</w:t>
            </w:r>
          </w:p>
          <w:p w:rsidR="004D139A" w:rsidRPr="00D62BB4" w:rsidRDefault="005A4382" w:rsidP="005A4382">
            <w:pPr>
              <w:rPr>
                <w:szCs w:val="20"/>
              </w:rPr>
            </w:pPr>
            <w:r w:rsidRPr="00D62BB4">
              <w:rPr>
                <w:rFonts w:cs="Arial"/>
                <w:szCs w:val="20"/>
              </w:rPr>
              <w:t>The candidate’s performance will be evaluated and validated after completion of all required assessment stations. As this is a certification examination, the only result given will be pass/fail. Station evaluators do not determine pass/fail results. They are recording the candidate’s activity to be assessed by the examiner designee. Candidates will be asked to affirm the results by signing an attestation form as directed by the NREMT examiner designee prior to receipt of examination results. Candidates leaving the NREMT exam unexcused or before completion of all assessment stations will receive one failed attempt at all three stations which constitutes a complete examination failure.</w:t>
            </w:r>
          </w:p>
        </w:tc>
      </w:tr>
      <w:tr w:rsidR="005A4382" w:rsidRPr="00D62BB4" w:rsidTr="00FB5069">
        <w:trPr>
          <w:jc w:val="center"/>
        </w:trPr>
        <w:tc>
          <w:tcPr>
            <w:tcW w:w="10800" w:type="dxa"/>
            <w:gridSpan w:val="2"/>
            <w:tcBorders>
              <w:top w:val="nil"/>
              <w:left w:val="nil"/>
              <w:bottom w:val="nil"/>
              <w:right w:val="nil"/>
            </w:tcBorders>
          </w:tcPr>
          <w:p w:rsidR="007E1668" w:rsidRPr="00D62BB4" w:rsidRDefault="007E1668" w:rsidP="007E1668">
            <w:pPr>
              <w:spacing w:after="60"/>
              <w:rPr>
                <w:rFonts w:cs="Arial"/>
                <w:b/>
                <w:bCs/>
                <w:szCs w:val="20"/>
              </w:rPr>
            </w:pPr>
            <w:r w:rsidRPr="00D62BB4">
              <w:rPr>
                <w:rFonts w:cs="Arial"/>
                <w:b/>
                <w:bCs/>
                <w:szCs w:val="20"/>
              </w:rPr>
              <w:t>Retesting</w:t>
            </w:r>
          </w:p>
          <w:p w:rsidR="005A4382" w:rsidRPr="00D62BB4" w:rsidRDefault="007E1668" w:rsidP="007E1668">
            <w:pPr>
              <w:rPr>
                <w:szCs w:val="20"/>
              </w:rPr>
            </w:pPr>
            <w:r w:rsidRPr="00D62BB4">
              <w:rPr>
                <w:rFonts w:cs="Arial"/>
                <w:szCs w:val="20"/>
              </w:rPr>
              <w:t>Candidates shall be allowed the opportunity to retest the day of examination if they are unsuccessful in one or two stations. Failure of three stations will require a candidate to retest at another location in the future.</w:t>
            </w:r>
          </w:p>
        </w:tc>
      </w:tr>
      <w:tr w:rsidR="007E1668" w:rsidRPr="00D62BB4" w:rsidTr="006C09F0">
        <w:trPr>
          <w:jc w:val="center"/>
        </w:trPr>
        <w:tc>
          <w:tcPr>
            <w:tcW w:w="10800" w:type="dxa"/>
            <w:gridSpan w:val="2"/>
            <w:tcBorders>
              <w:top w:val="nil"/>
              <w:left w:val="nil"/>
              <w:bottom w:val="nil"/>
              <w:right w:val="nil"/>
            </w:tcBorders>
          </w:tcPr>
          <w:p w:rsidR="007E1668" w:rsidRPr="00D62BB4" w:rsidRDefault="007E1668" w:rsidP="007E1668">
            <w:pPr>
              <w:spacing w:after="60"/>
              <w:rPr>
                <w:rFonts w:cs="Arial"/>
                <w:b/>
                <w:bCs/>
                <w:szCs w:val="20"/>
              </w:rPr>
            </w:pPr>
            <w:r w:rsidRPr="00D62BB4">
              <w:rPr>
                <w:rFonts w:cs="Arial"/>
                <w:b/>
                <w:bCs/>
                <w:szCs w:val="20"/>
              </w:rPr>
              <w:t>Questions</w:t>
            </w:r>
          </w:p>
          <w:p w:rsidR="007E1668" w:rsidRPr="00D62BB4" w:rsidRDefault="007E1668" w:rsidP="007E1668">
            <w:pPr>
              <w:rPr>
                <w:szCs w:val="20"/>
              </w:rPr>
            </w:pPr>
            <w:r w:rsidRPr="00D62BB4">
              <w:rPr>
                <w:rFonts w:cs="Arial"/>
                <w:szCs w:val="20"/>
              </w:rPr>
              <w:t xml:space="preserve">If candidates have any questions, please feel free to contact Tim Weir at </w:t>
            </w:r>
            <w:hyperlink r:id="rId8" w:history="1">
              <w:r w:rsidRPr="00D62BB4">
                <w:rPr>
                  <w:rStyle w:val="Hyperlink"/>
                  <w:rFonts w:cs="Arial"/>
                  <w:szCs w:val="20"/>
                </w:rPr>
                <w:t>timothy.weir@wtcsystem.edu</w:t>
              </w:r>
            </w:hyperlink>
            <w:r w:rsidRPr="00D62BB4">
              <w:rPr>
                <w:rFonts w:cs="Arial"/>
                <w:szCs w:val="20"/>
              </w:rPr>
              <w:t xml:space="preserve"> or </w:t>
            </w:r>
            <w:r w:rsidR="00FA3B0E">
              <w:rPr>
                <w:rFonts w:cs="Arial"/>
                <w:szCs w:val="20"/>
              </w:rPr>
              <w:br/>
            </w:r>
            <w:r w:rsidRPr="00D62BB4">
              <w:rPr>
                <w:rFonts w:cs="Arial"/>
                <w:szCs w:val="20"/>
              </w:rPr>
              <w:t>608-266-0995 prior to the examination date or contact the NREMT examiner during the examination.</w:t>
            </w:r>
          </w:p>
        </w:tc>
      </w:tr>
      <w:tr w:rsidR="007E1668" w:rsidRPr="00D62BB4" w:rsidTr="006C09F0">
        <w:trPr>
          <w:jc w:val="center"/>
        </w:trPr>
        <w:tc>
          <w:tcPr>
            <w:tcW w:w="10800" w:type="dxa"/>
            <w:gridSpan w:val="2"/>
            <w:tcBorders>
              <w:top w:val="nil"/>
              <w:left w:val="nil"/>
              <w:bottom w:val="single" w:sz="4" w:space="0" w:color="auto"/>
              <w:right w:val="nil"/>
            </w:tcBorders>
          </w:tcPr>
          <w:p w:rsidR="007E1668" w:rsidRPr="00D62BB4" w:rsidRDefault="007E1668" w:rsidP="007E1668">
            <w:pPr>
              <w:spacing w:after="60"/>
              <w:rPr>
                <w:rFonts w:cs="Arial"/>
                <w:szCs w:val="20"/>
              </w:rPr>
            </w:pPr>
            <w:r w:rsidRPr="00D62BB4">
              <w:rPr>
                <w:rFonts w:cs="Arial"/>
                <w:b/>
                <w:bCs/>
                <w:szCs w:val="20"/>
              </w:rPr>
              <w:t>Affirmation/Attestation</w:t>
            </w:r>
          </w:p>
          <w:p w:rsidR="007E1668" w:rsidRPr="00D62BB4" w:rsidRDefault="007E1668" w:rsidP="007E1668">
            <w:pPr>
              <w:rPr>
                <w:szCs w:val="20"/>
              </w:rPr>
            </w:pPr>
            <w:r w:rsidRPr="00D62BB4">
              <w:rPr>
                <w:rFonts w:cs="Arial"/>
                <w:szCs w:val="20"/>
              </w:rPr>
              <w:t>I have read this orientation and understand the content and agree to abide by all policies of the Wisconsin Technical College System (WTCS) and the Department of Health Services, EMS Section (DHS-EMS). I understand that violation of any rules and/or policies may result in the invalidation or nullification of my examination results.</w:t>
            </w:r>
          </w:p>
        </w:tc>
      </w:tr>
      <w:tr w:rsidR="00FB5069" w:rsidRPr="00D62BB4" w:rsidTr="006C09F0">
        <w:trPr>
          <w:trHeight w:val="288"/>
          <w:jc w:val="center"/>
        </w:trPr>
        <w:tc>
          <w:tcPr>
            <w:tcW w:w="5400" w:type="dxa"/>
            <w:tcBorders>
              <w:top w:val="single" w:sz="4" w:space="0" w:color="auto"/>
              <w:left w:val="nil"/>
              <w:bottom w:val="nil"/>
              <w:right w:val="single" w:sz="4" w:space="0" w:color="auto"/>
            </w:tcBorders>
            <w:vAlign w:val="center"/>
          </w:tcPr>
          <w:p w:rsidR="00FB5069" w:rsidRPr="00D62BB4" w:rsidRDefault="00FB5069" w:rsidP="006C09F0">
            <w:pPr>
              <w:spacing w:before="20" w:after="20"/>
              <w:rPr>
                <w:szCs w:val="20"/>
              </w:rPr>
            </w:pPr>
            <w:r w:rsidRPr="006C09F0">
              <w:rPr>
                <w:b/>
                <w:szCs w:val="20"/>
              </w:rPr>
              <w:t>SIGNATURE</w:t>
            </w:r>
            <w:r>
              <w:rPr>
                <w:szCs w:val="20"/>
              </w:rPr>
              <w:t xml:space="preserve"> </w:t>
            </w:r>
            <w:r w:rsidR="006C09F0">
              <w:rPr>
                <w:szCs w:val="20"/>
              </w:rPr>
              <w:t>—</w:t>
            </w:r>
            <w:r>
              <w:rPr>
                <w:szCs w:val="20"/>
              </w:rPr>
              <w:t xml:space="preserve"> </w:t>
            </w:r>
            <w:r w:rsidR="00B84E10">
              <w:rPr>
                <w:szCs w:val="20"/>
              </w:rPr>
              <w:t>Examination Candidate</w:t>
            </w:r>
          </w:p>
        </w:tc>
        <w:tc>
          <w:tcPr>
            <w:tcW w:w="5400" w:type="dxa"/>
            <w:tcBorders>
              <w:top w:val="single" w:sz="4" w:space="0" w:color="auto"/>
              <w:left w:val="single" w:sz="4" w:space="0" w:color="auto"/>
              <w:bottom w:val="nil"/>
              <w:right w:val="nil"/>
            </w:tcBorders>
            <w:vAlign w:val="center"/>
          </w:tcPr>
          <w:p w:rsidR="00FB5069" w:rsidRPr="00D62BB4" w:rsidRDefault="00B84E10" w:rsidP="006C09F0">
            <w:pPr>
              <w:spacing w:before="20" w:after="20"/>
              <w:rPr>
                <w:szCs w:val="20"/>
              </w:rPr>
            </w:pPr>
            <w:r>
              <w:rPr>
                <w:szCs w:val="20"/>
              </w:rPr>
              <w:t>Date Signed</w:t>
            </w:r>
          </w:p>
        </w:tc>
      </w:tr>
      <w:tr w:rsidR="00FB5069" w:rsidRPr="00D62BB4" w:rsidTr="006C09F0">
        <w:trPr>
          <w:trHeight w:val="576"/>
          <w:jc w:val="center"/>
        </w:trPr>
        <w:tc>
          <w:tcPr>
            <w:tcW w:w="5400" w:type="dxa"/>
            <w:tcBorders>
              <w:top w:val="nil"/>
              <w:left w:val="nil"/>
              <w:bottom w:val="single" w:sz="4" w:space="0" w:color="auto"/>
              <w:right w:val="single" w:sz="4" w:space="0" w:color="auto"/>
            </w:tcBorders>
            <w:vAlign w:val="center"/>
          </w:tcPr>
          <w:p w:rsidR="00FB5069" w:rsidRPr="00D62BB4" w:rsidRDefault="00FB5069" w:rsidP="006C09F0">
            <w:pPr>
              <w:spacing w:before="20" w:after="20"/>
              <w:rPr>
                <w:szCs w:val="20"/>
              </w:rPr>
            </w:pPr>
          </w:p>
        </w:tc>
        <w:tc>
          <w:tcPr>
            <w:tcW w:w="5400" w:type="dxa"/>
            <w:tcBorders>
              <w:top w:val="nil"/>
              <w:left w:val="single" w:sz="4" w:space="0" w:color="auto"/>
              <w:bottom w:val="single" w:sz="4" w:space="0" w:color="auto"/>
              <w:right w:val="nil"/>
            </w:tcBorders>
            <w:vAlign w:val="center"/>
          </w:tcPr>
          <w:p w:rsidR="00FB5069" w:rsidRPr="00D62BB4" w:rsidRDefault="00FB5069" w:rsidP="006C09F0">
            <w:pPr>
              <w:spacing w:before="20" w:after="20"/>
              <w:rPr>
                <w:szCs w:val="20"/>
              </w:rPr>
            </w:pPr>
          </w:p>
        </w:tc>
      </w:tr>
      <w:tr w:rsidR="00FB5069" w:rsidRPr="00D62BB4" w:rsidTr="006C09F0">
        <w:trPr>
          <w:trHeight w:val="288"/>
          <w:jc w:val="center"/>
        </w:trPr>
        <w:tc>
          <w:tcPr>
            <w:tcW w:w="10800" w:type="dxa"/>
            <w:gridSpan w:val="2"/>
            <w:tcBorders>
              <w:top w:val="single" w:sz="4" w:space="0" w:color="auto"/>
              <w:left w:val="nil"/>
              <w:bottom w:val="nil"/>
              <w:right w:val="nil"/>
            </w:tcBorders>
            <w:vAlign w:val="center"/>
          </w:tcPr>
          <w:p w:rsidR="00FB5069" w:rsidRPr="00D62BB4" w:rsidRDefault="00FB5069" w:rsidP="006C09F0">
            <w:pPr>
              <w:spacing w:before="20" w:after="20"/>
              <w:rPr>
                <w:szCs w:val="20"/>
              </w:rPr>
            </w:pPr>
            <w:r w:rsidRPr="00FB5069">
              <w:rPr>
                <w:szCs w:val="20"/>
              </w:rPr>
              <w:t>Examination Candidate Name</w:t>
            </w:r>
          </w:p>
        </w:tc>
      </w:tr>
      <w:tr w:rsidR="00FB5069" w:rsidRPr="00D62BB4" w:rsidTr="006C09F0">
        <w:trPr>
          <w:trHeight w:val="360"/>
          <w:jc w:val="center"/>
        </w:trPr>
        <w:tc>
          <w:tcPr>
            <w:tcW w:w="10800" w:type="dxa"/>
            <w:gridSpan w:val="2"/>
            <w:tcBorders>
              <w:top w:val="nil"/>
              <w:left w:val="nil"/>
              <w:bottom w:val="single" w:sz="4" w:space="0" w:color="auto"/>
              <w:right w:val="nil"/>
            </w:tcBorders>
            <w:vAlign w:val="center"/>
          </w:tcPr>
          <w:p w:rsidR="00FB5069" w:rsidRPr="006C09F0" w:rsidRDefault="00B84E10" w:rsidP="006C09F0">
            <w:pPr>
              <w:spacing w:before="20" w:after="20"/>
              <w:rPr>
                <w:rFonts w:ascii="Times New Roman" w:hAnsi="Times New Roman" w:cs="Times New Roman"/>
                <w:szCs w:val="20"/>
              </w:rPr>
            </w:pPr>
            <w:r w:rsidRPr="006C09F0">
              <w:rPr>
                <w:rFonts w:ascii="Times New Roman" w:hAnsi="Times New Roman" w:cs="Times New Roman"/>
                <w:sz w:val="22"/>
                <w:szCs w:val="20"/>
              </w:rPr>
              <w:fldChar w:fldCharType="begin">
                <w:ffData>
                  <w:name w:val="Text1"/>
                  <w:enabled/>
                  <w:calcOnExit w:val="0"/>
                  <w:textInput/>
                </w:ffData>
              </w:fldChar>
            </w:r>
            <w:bookmarkStart w:id="0" w:name="Text1"/>
            <w:r w:rsidRPr="006C09F0">
              <w:rPr>
                <w:rFonts w:ascii="Times New Roman" w:hAnsi="Times New Roman" w:cs="Times New Roman"/>
                <w:sz w:val="22"/>
                <w:szCs w:val="20"/>
              </w:rPr>
              <w:instrText xml:space="preserve"> FORMTEXT </w:instrText>
            </w:r>
            <w:r w:rsidRPr="006C09F0">
              <w:rPr>
                <w:rFonts w:ascii="Times New Roman" w:hAnsi="Times New Roman" w:cs="Times New Roman"/>
                <w:sz w:val="22"/>
                <w:szCs w:val="20"/>
              </w:rPr>
            </w:r>
            <w:r w:rsidRPr="006C09F0">
              <w:rPr>
                <w:rFonts w:ascii="Times New Roman" w:hAnsi="Times New Roman" w:cs="Times New Roman"/>
                <w:sz w:val="22"/>
                <w:szCs w:val="20"/>
              </w:rPr>
              <w:fldChar w:fldCharType="separate"/>
            </w:r>
            <w:bookmarkStart w:id="1" w:name="_GoBack"/>
            <w:r w:rsidRPr="006C09F0">
              <w:rPr>
                <w:rFonts w:ascii="Times New Roman" w:hAnsi="Times New Roman" w:cs="Times New Roman"/>
                <w:noProof/>
                <w:sz w:val="22"/>
                <w:szCs w:val="20"/>
              </w:rPr>
              <w:t> </w:t>
            </w:r>
            <w:r w:rsidRPr="006C09F0">
              <w:rPr>
                <w:rFonts w:ascii="Times New Roman" w:hAnsi="Times New Roman" w:cs="Times New Roman"/>
                <w:noProof/>
                <w:sz w:val="22"/>
                <w:szCs w:val="20"/>
              </w:rPr>
              <w:t> </w:t>
            </w:r>
            <w:r w:rsidRPr="006C09F0">
              <w:rPr>
                <w:rFonts w:ascii="Times New Roman" w:hAnsi="Times New Roman" w:cs="Times New Roman"/>
                <w:noProof/>
                <w:sz w:val="22"/>
                <w:szCs w:val="20"/>
              </w:rPr>
              <w:t> </w:t>
            </w:r>
            <w:r w:rsidRPr="006C09F0">
              <w:rPr>
                <w:rFonts w:ascii="Times New Roman" w:hAnsi="Times New Roman" w:cs="Times New Roman"/>
                <w:noProof/>
                <w:sz w:val="22"/>
                <w:szCs w:val="20"/>
              </w:rPr>
              <w:t> </w:t>
            </w:r>
            <w:r w:rsidRPr="006C09F0">
              <w:rPr>
                <w:rFonts w:ascii="Times New Roman" w:hAnsi="Times New Roman" w:cs="Times New Roman"/>
                <w:noProof/>
                <w:sz w:val="22"/>
                <w:szCs w:val="20"/>
              </w:rPr>
              <w:t> </w:t>
            </w:r>
            <w:bookmarkEnd w:id="1"/>
            <w:r w:rsidRPr="006C09F0">
              <w:rPr>
                <w:rFonts w:ascii="Times New Roman" w:hAnsi="Times New Roman" w:cs="Times New Roman"/>
                <w:sz w:val="22"/>
                <w:szCs w:val="20"/>
              </w:rPr>
              <w:fldChar w:fldCharType="end"/>
            </w:r>
            <w:bookmarkEnd w:id="0"/>
          </w:p>
        </w:tc>
      </w:tr>
    </w:tbl>
    <w:p w:rsidR="009736D2" w:rsidRPr="00D62BB4" w:rsidRDefault="009736D2" w:rsidP="005A4382">
      <w:pPr>
        <w:rPr>
          <w:szCs w:val="20"/>
        </w:rPr>
      </w:pPr>
    </w:p>
    <w:sectPr w:rsidR="009736D2" w:rsidRPr="00D62BB4" w:rsidSect="00564392">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392" w:rsidRDefault="00564392" w:rsidP="00564392">
      <w:pPr>
        <w:spacing w:after="0"/>
      </w:pPr>
      <w:r>
        <w:separator/>
      </w:r>
    </w:p>
  </w:endnote>
  <w:endnote w:type="continuationSeparator" w:id="0">
    <w:p w:rsidR="00564392" w:rsidRDefault="00564392" w:rsidP="00564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392" w:rsidRDefault="00564392" w:rsidP="00564392">
      <w:pPr>
        <w:spacing w:after="0"/>
      </w:pPr>
      <w:r>
        <w:separator/>
      </w:r>
    </w:p>
  </w:footnote>
  <w:footnote w:type="continuationSeparator" w:id="0">
    <w:p w:rsidR="00564392" w:rsidRDefault="00564392" w:rsidP="005643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92" w:rsidRPr="00564392" w:rsidRDefault="00564392" w:rsidP="00564392">
    <w:pPr>
      <w:pStyle w:val="Header"/>
      <w:tabs>
        <w:tab w:val="clear" w:pos="4680"/>
        <w:tab w:val="clear" w:pos="9360"/>
        <w:tab w:val="right" w:pos="10800"/>
      </w:tabs>
      <w:spacing w:after="240"/>
      <w:rPr>
        <w:sz w:val="18"/>
      </w:rPr>
    </w:pPr>
    <w:r w:rsidRPr="00564392">
      <w:rPr>
        <w:sz w:val="18"/>
      </w:rPr>
      <w:t>F-</w:t>
    </w:r>
    <w:r w:rsidR="000E4E3F">
      <w:rPr>
        <w:sz w:val="18"/>
      </w:rPr>
      <w:t>02842  (07/2021)</w:t>
    </w:r>
    <w:r>
      <w:rPr>
        <w:sz w:val="18"/>
      </w:rPr>
      <w:tab/>
    </w:r>
    <w:r w:rsidRPr="00564392">
      <w:rPr>
        <w:sz w:val="18"/>
      </w:rPr>
      <w:t xml:space="preserve">Page </w:t>
    </w:r>
    <w:r w:rsidRPr="00564392">
      <w:rPr>
        <w:bCs/>
        <w:sz w:val="18"/>
      </w:rPr>
      <w:fldChar w:fldCharType="begin"/>
    </w:r>
    <w:r w:rsidRPr="00564392">
      <w:rPr>
        <w:bCs/>
        <w:sz w:val="18"/>
      </w:rPr>
      <w:instrText xml:space="preserve"> PAGE  \* Arabic  \* MERGEFORMAT </w:instrText>
    </w:r>
    <w:r w:rsidRPr="00564392">
      <w:rPr>
        <w:bCs/>
        <w:sz w:val="18"/>
      </w:rPr>
      <w:fldChar w:fldCharType="separate"/>
    </w:r>
    <w:r w:rsidR="000E4E3F">
      <w:rPr>
        <w:bCs/>
        <w:noProof/>
        <w:sz w:val="18"/>
      </w:rPr>
      <w:t>2</w:t>
    </w:r>
    <w:r w:rsidRPr="00564392">
      <w:rPr>
        <w:bCs/>
        <w:sz w:val="18"/>
      </w:rPr>
      <w:fldChar w:fldCharType="end"/>
    </w:r>
    <w:r w:rsidRPr="00564392">
      <w:rPr>
        <w:sz w:val="18"/>
      </w:rPr>
      <w:t xml:space="preserve"> of </w:t>
    </w:r>
    <w:r w:rsidRPr="00564392">
      <w:rPr>
        <w:bCs/>
        <w:sz w:val="18"/>
      </w:rPr>
      <w:fldChar w:fldCharType="begin"/>
    </w:r>
    <w:r w:rsidRPr="00564392">
      <w:rPr>
        <w:bCs/>
        <w:sz w:val="18"/>
      </w:rPr>
      <w:instrText xml:space="preserve"> NUMPAGES  \* Arabic  \* MERGEFORMAT </w:instrText>
    </w:r>
    <w:r w:rsidRPr="00564392">
      <w:rPr>
        <w:bCs/>
        <w:sz w:val="18"/>
      </w:rPr>
      <w:fldChar w:fldCharType="separate"/>
    </w:r>
    <w:r w:rsidR="000E4E3F">
      <w:rPr>
        <w:bCs/>
        <w:noProof/>
        <w:sz w:val="18"/>
      </w:rPr>
      <w:t>2</w:t>
    </w:r>
    <w:r w:rsidRPr="00564392">
      <w:rPr>
        <w:bCs/>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E06CF"/>
    <w:multiLevelType w:val="hybridMultilevel"/>
    <w:tmpl w:val="C8E6A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487391"/>
    <w:multiLevelType w:val="hybridMultilevel"/>
    <w:tmpl w:val="C6F2D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E5C64"/>
    <w:multiLevelType w:val="hybridMultilevel"/>
    <w:tmpl w:val="58F87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ocumentProtection w:edit="forms" w:enforcement="1" w:cryptProviderType="rsaAES" w:cryptAlgorithmClass="hash" w:cryptAlgorithmType="typeAny" w:cryptAlgorithmSid="14" w:cryptSpinCount="100000" w:hash="s4nTmujeTb0Fgslop2vqeD4ptT9fi8uGoYzlPpfykVR4rndLkh5IEp1/YcoKpTCsfqfjyIHLG4o0crv+mO4ktw==" w:salt="mxxGBhi/qCFUdLCKsTIaj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53"/>
    <w:rsid w:val="00085352"/>
    <w:rsid w:val="00090654"/>
    <w:rsid w:val="000D214F"/>
    <w:rsid w:val="000E4E3F"/>
    <w:rsid w:val="001410BF"/>
    <w:rsid w:val="001E43CF"/>
    <w:rsid w:val="004D139A"/>
    <w:rsid w:val="00564392"/>
    <w:rsid w:val="005A4382"/>
    <w:rsid w:val="006810EC"/>
    <w:rsid w:val="006C09F0"/>
    <w:rsid w:val="0075332A"/>
    <w:rsid w:val="00796953"/>
    <w:rsid w:val="007E1668"/>
    <w:rsid w:val="00843791"/>
    <w:rsid w:val="008965D2"/>
    <w:rsid w:val="00920F6D"/>
    <w:rsid w:val="009736D2"/>
    <w:rsid w:val="009A1E30"/>
    <w:rsid w:val="00B043A8"/>
    <w:rsid w:val="00B3132D"/>
    <w:rsid w:val="00B84E10"/>
    <w:rsid w:val="00CF7822"/>
    <w:rsid w:val="00D62BB4"/>
    <w:rsid w:val="00DB14EC"/>
    <w:rsid w:val="00E43392"/>
    <w:rsid w:val="00E57313"/>
    <w:rsid w:val="00F3002F"/>
    <w:rsid w:val="00F86ED2"/>
    <w:rsid w:val="00FA3B0E"/>
    <w:rsid w:val="00FB5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727C78D"/>
  <w15:chartTrackingRefBased/>
  <w15:docId w15:val="{B99BBA18-A263-4268-A2CD-A94CE14E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3CF"/>
    <w:pPr>
      <w:spacing w:after="120" w:line="240" w:lineRule="auto"/>
    </w:pPr>
    <w:rPr>
      <w:rFonts w:ascii="Arial" w:hAnsi="Arial"/>
      <w:sz w:val="20"/>
    </w:rPr>
  </w:style>
  <w:style w:type="paragraph" w:styleId="Heading1">
    <w:name w:val="heading 1"/>
    <w:basedOn w:val="Normal"/>
    <w:next w:val="Normal"/>
    <w:link w:val="Heading1Char"/>
    <w:uiPriority w:val="9"/>
    <w:qFormat/>
    <w:rsid w:val="001E43CF"/>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E43CF"/>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3CF"/>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E43CF"/>
    <w:rPr>
      <w:rFonts w:ascii="Arial" w:eastAsiaTheme="majorEastAsia" w:hAnsi="Arial" w:cstheme="majorBidi"/>
      <w:color w:val="365F91" w:themeColor="accent1" w:themeShade="BF"/>
      <w:sz w:val="26"/>
      <w:szCs w:val="26"/>
    </w:rPr>
  </w:style>
  <w:style w:type="paragraph" w:styleId="NoSpacing">
    <w:name w:val="No Spacing"/>
    <w:uiPriority w:val="1"/>
    <w:qFormat/>
    <w:rsid w:val="00796953"/>
    <w:pPr>
      <w:spacing w:after="0" w:line="240" w:lineRule="auto"/>
    </w:pPr>
    <w:rPr>
      <w:rFonts w:ascii="Arial" w:hAnsi="Arial"/>
      <w:sz w:val="20"/>
    </w:rPr>
  </w:style>
  <w:style w:type="table" w:styleId="TableGrid">
    <w:name w:val="Table Grid"/>
    <w:basedOn w:val="TableNormal"/>
    <w:uiPriority w:val="59"/>
    <w:rsid w:val="0056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392"/>
    <w:pPr>
      <w:tabs>
        <w:tab w:val="center" w:pos="4680"/>
        <w:tab w:val="right" w:pos="9360"/>
      </w:tabs>
      <w:spacing w:after="0"/>
    </w:pPr>
  </w:style>
  <w:style w:type="character" w:customStyle="1" w:styleId="HeaderChar">
    <w:name w:val="Header Char"/>
    <w:basedOn w:val="DefaultParagraphFont"/>
    <w:link w:val="Header"/>
    <w:uiPriority w:val="99"/>
    <w:rsid w:val="00564392"/>
    <w:rPr>
      <w:rFonts w:ascii="Arial" w:hAnsi="Arial"/>
      <w:sz w:val="20"/>
    </w:rPr>
  </w:style>
  <w:style w:type="paragraph" w:styleId="Footer">
    <w:name w:val="footer"/>
    <w:basedOn w:val="Normal"/>
    <w:link w:val="FooterChar"/>
    <w:uiPriority w:val="99"/>
    <w:unhideWhenUsed/>
    <w:rsid w:val="00564392"/>
    <w:pPr>
      <w:tabs>
        <w:tab w:val="center" w:pos="4680"/>
        <w:tab w:val="right" w:pos="9360"/>
      </w:tabs>
      <w:spacing w:after="0"/>
    </w:pPr>
  </w:style>
  <w:style w:type="character" w:customStyle="1" w:styleId="FooterChar">
    <w:name w:val="Footer Char"/>
    <w:basedOn w:val="DefaultParagraphFont"/>
    <w:link w:val="Footer"/>
    <w:uiPriority w:val="99"/>
    <w:rsid w:val="00564392"/>
    <w:rPr>
      <w:rFonts w:ascii="Arial" w:hAnsi="Arial"/>
      <w:sz w:val="20"/>
    </w:rPr>
  </w:style>
  <w:style w:type="character" w:styleId="Hyperlink">
    <w:name w:val="Hyperlink"/>
    <w:basedOn w:val="DefaultParagraphFont"/>
    <w:uiPriority w:val="99"/>
    <w:unhideWhenUsed/>
    <w:rsid w:val="006810EC"/>
    <w:rPr>
      <w:color w:val="0000FF"/>
      <w:u w:val="single"/>
    </w:rPr>
  </w:style>
  <w:style w:type="paragraph" w:styleId="ListParagraph">
    <w:name w:val="List Paragraph"/>
    <w:basedOn w:val="Normal"/>
    <w:uiPriority w:val="34"/>
    <w:qFormat/>
    <w:rsid w:val="006810EC"/>
    <w:pPr>
      <w:spacing w:after="160" w:line="259" w:lineRule="auto"/>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8437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mothy.weir@wtcsystem.edu" TargetMode="External"/><Relationship Id="rId3" Type="http://schemas.openxmlformats.org/officeDocument/2006/relationships/settings" Target="settings.xml"/><Relationship Id="rId7" Type="http://schemas.openxmlformats.org/officeDocument/2006/relationships/hyperlink" Target="mailto:timothy.weir@wtcsyste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Haight, Jennifer L</dc:creator>
  <cp:keywords/>
  <dc:description/>
  <cp:lastModifiedBy>Dishno, Karen L.</cp:lastModifiedBy>
  <cp:revision>2</cp:revision>
  <dcterms:created xsi:type="dcterms:W3CDTF">2021-07-29T14:12:00Z</dcterms:created>
  <dcterms:modified xsi:type="dcterms:W3CDTF">2021-07-29T14:12:00Z</dcterms:modified>
</cp:coreProperties>
</file>