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7200"/>
        <w:gridCol w:w="7200"/>
      </w:tblGrid>
      <w:tr w:rsidR="00CB767D" w:rsidTr="007908A4">
        <w:trPr>
          <w:jc w:val="center"/>
        </w:trPr>
        <w:tc>
          <w:tcPr>
            <w:tcW w:w="7200" w:type="dxa"/>
            <w:tcBorders>
              <w:top w:val="nil"/>
              <w:left w:val="nil"/>
              <w:bottom w:val="nil"/>
              <w:right w:val="nil"/>
            </w:tcBorders>
          </w:tcPr>
          <w:p w:rsidR="00CB767D" w:rsidRPr="00564392" w:rsidRDefault="00CB767D" w:rsidP="00970948">
            <w:pPr>
              <w:spacing w:after="0"/>
              <w:rPr>
                <w:b/>
                <w:sz w:val="18"/>
                <w:szCs w:val="18"/>
              </w:rPr>
            </w:pPr>
            <w:r w:rsidRPr="00564392">
              <w:rPr>
                <w:b/>
                <w:sz w:val="18"/>
                <w:szCs w:val="18"/>
              </w:rPr>
              <w:t>DEPARTMENT OF HEALTH SERVICES</w:t>
            </w:r>
          </w:p>
          <w:p w:rsidR="00CB767D" w:rsidRPr="00564392" w:rsidRDefault="00CB767D" w:rsidP="00970948">
            <w:pPr>
              <w:spacing w:after="0"/>
              <w:rPr>
                <w:sz w:val="18"/>
                <w:szCs w:val="18"/>
              </w:rPr>
            </w:pPr>
            <w:r w:rsidRPr="00564392">
              <w:rPr>
                <w:sz w:val="18"/>
                <w:szCs w:val="18"/>
              </w:rPr>
              <w:t xml:space="preserve">Division of </w:t>
            </w:r>
            <w:r w:rsidR="007908A4">
              <w:rPr>
                <w:sz w:val="18"/>
                <w:szCs w:val="18"/>
              </w:rPr>
              <w:t>Public Health</w:t>
            </w:r>
          </w:p>
          <w:p w:rsidR="00CB767D" w:rsidRDefault="00CB767D" w:rsidP="006A3D48">
            <w:pPr>
              <w:spacing w:after="0"/>
            </w:pPr>
            <w:r w:rsidRPr="00564392">
              <w:rPr>
                <w:sz w:val="18"/>
                <w:szCs w:val="18"/>
              </w:rPr>
              <w:t>F-</w:t>
            </w:r>
            <w:r w:rsidR="006A3D48">
              <w:rPr>
                <w:sz w:val="18"/>
                <w:szCs w:val="18"/>
              </w:rPr>
              <w:t>02880</w:t>
            </w:r>
            <w:r w:rsidRPr="00564392">
              <w:rPr>
                <w:sz w:val="18"/>
                <w:szCs w:val="18"/>
              </w:rPr>
              <w:t xml:space="preserve">  </w:t>
            </w:r>
            <w:r>
              <w:rPr>
                <w:sz w:val="18"/>
                <w:szCs w:val="18"/>
              </w:rPr>
              <w:t>(</w:t>
            </w:r>
            <w:r w:rsidR="007908A4">
              <w:rPr>
                <w:sz w:val="18"/>
                <w:szCs w:val="18"/>
              </w:rPr>
              <w:t>09/2021</w:t>
            </w:r>
            <w:r w:rsidRPr="00564392">
              <w:rPr>
                <w:sz w:val="18"/>
                <w:szCs w:val="18"/>
              </w:rPr>
              <w:t>)</w:t>
            </w:r>
          </w:p>
        </w:tc>
        <w:tc>
          <w:tcPr>
            <w:tcW w:w="7200" w:type="dxa"/>
            <w:tcBorders>
              <w:top w:val="nil"/>
              <w:left w:val="nil"/>
              <w:bottom w:val="nil"/>
              <w:right w:val="nil"/>
            </w:tcBorders>
          </w:tcPr>
          <w:p w:rsidR="00CB767D" w:rsidRPr="00564392" w:rsidRDefault="00CB767D" w:rsidP="00970948">
            <w:pPr>
              <w:spacing w:after="0"/>
              <w:jc w:val="right"/>
              <w:rPr>
                <w:b/>
              </w:rPr>
            </w:pPr>
            <w:r w:rsidRPr="00564392">
              <w:rPr>
                <w:b/>
                <w:sz w:val="18"/>
              </w:rPr>
              <w:t>STATE OF WISCONSIN</w:t>
            </w:r>
          </w:p>
        </w:tc>
      </w:tr>
      <w:tr w:rsidR="00CB767D" w:rsidRPr="00564392" w:rsidTr="007908A4">
        <w:trPr>
          <w:jc w:val="center"/>
        </w:trPr>
        <w:tc>
          <w:tcPr>
            <w:tcW w:w="14400" w:type="dxa"/>
            <w:gridSpan w:val="2"/>
            <w:tcBorders>
              <w:top w:val="nil"/>
              <w:left w:val="nil"/>
              <w:bottom w:val="single" w:sz="4" w:space="0" w:color="auto"/>
              <w:right w:val="nil"/>
            </w:tcBorders>
          </w:tcPr>
          <w:p w:rsidR="00CB767D" w:rsidRDefault="007908A4" w:rsidP="007908A4">
            <w:pPr>
              <w:spacing w:before="120" w:after="60"/>
              <w:jc w:val="center"/>
              <w:rPr>
                <w:b/>
                <w:sz w:val="24"/>
              </w:rPr>
            </w:pPr>
            <w:r w:rsidRPr="007908A4">
              <w:rPr>
                <w:b/>
                <w:sz w:val="24"/>
              </w:rPr>
              <w:t>ADRC LOCATION AND PHYSICAL SPACE SELF-ASSESSMENT</w:t>
            </w:r>
          </w:p>
          <w:p w:rsidR="007908A4" w:rsidRPr="00B043A8" w:rsidRDefault="007908A4" w:rsidP="007908A4">
            <w:pPr>
              <w:spacing w:before="60"/>
              <w:jc w:val="center"/>
              <w:rPr>
                <w:b/>
                <w:sz w:val="24"/>
              </w:rPr>
            </w:pPr>
            <w:r w:rsidRPr="007908A4">
              <w:rPr>
                <w:b/>
              </w:rPr>
              <w:t>Location, Physical Space and Facility Characteristics</w:t>
            </w:r>
          </w:p>
        </w:tc>
      </w:tr>
    </w:tbl>
    <w:p w:rsidR="007908A4" w:rsidRPr="007908A4" w:rsidRDefault="007908A4" w:rsidP="00970948">
      <w:pPr>
        <w:spacing w:before="20" w:after="20"/>
        <w:rPr>
          <w:sz w:val="2"/>
          <w:szCs w:val="2"/>
        </w:rPr>
        <w:sectPr w:rsidR="007908A4" w:rsidRPr="007908A4" w:rsidSect="007908A4">
          <w:headerReference w:type="default" r:id="rId6"/>
          <w:pgSz w:w="15840" w:h="12240" w:orient="landscape"/>
          <w:pgMar w:top="720" w:right="720" w:bottom="720" w:left="720" w:header="720" w:footer="720" w:gutter="0"/>
          <w:cols w:space="720"/>
          <w:titlePg/>
          <w:docGrid w:linePitch="360"/>
        </w:sectPr>
      </w:pPr>
    </w:p>
    <w:tbl>
      <w:tblPr>
        <w:tblStyle w:val="TableGrid"/>
        <w:tblpPr w:leftFromText="180" w:rightFromText="180" w:vertAnchor="text" w:tblpXSpec="center" w:tblpY="1"/>
        <w:tblOverlap w:val="never"/>
        <w:tblW w:w="5000" w:type="pct"/>
        <w:tblLayout w:type="fixed"/>
        <w:tblCellMar>
          <w:left w:w="115" w:type="dxa"/>
          <w:right w:w="115" w:type="dxa"/>
        </w:tblCellMar>
        <w:tblLook w:val="04A0" w:firstRow="1" w:lastRow="0" w:firstColumn="1" w:lastColumn="0" w:noHBand="0" w:noVBand="1"/>
      </w:tblPr>
      <w:tblGrid>
        <w:gridCol w:w="720"/>
        <w:gridCol w:w="1890"/>
        <w:gridCol w:w="990"/>
        <w:gridCol w:w="4950"/>
        <w:gridCol w:w="630"/>
        <w:gridCol w:w="630"/>
        <w:gridCol w:w="630"/>
        <w:gridCol w:w="3960"/>
      </w:tblGrid>
      <w:tr w:rsidR="006A3D48" w:rsidRPr="007908A4" w:rsidTr="006A3D48">
        <w:trPr>
          <w:cantSplit/>
          <w:trHeight w:val="288"/>
          <w:tblHeader/>
        </w:trPr>
        <w:tc>
          <w:tcPr>
            <w:tcW w:w="7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908A4" w:rsidRPr="007908A4" w:rsidRDefault="007908A4" w:rsidP="006A3D48">
            <w:pPr>
              <w:spacing w:before="20" w:after="20"/>
              <w:rPr>
                <w:b/>
                <w:sz w:val="18"/>
                <w:szCs w:val="18"/>
              </w:rPr>
            </w:pPr>
            <w:r w:rsidRPr="007908A4">
              <w:rPr>
                <w:b/>
                <w:sz w:val="18"/>
                <w:szCs w:val="18"/>
              </w:rPr>
              <w:t>Page</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908A4" w:rsidRPr="007908A4" w:rsidRDefault="007908A4" w:rsidP="006A3D48">
            <w:pPr>
              <w:spacing w:before="20" w:after="20"/>
              <w:rPr>
                <w:b/>
                <w:sz w:val="18"/>
                <w:szCs w:val="18"/>
              </w:rPr>
            </w:pPr>
            <w:r w:rsidRPr="007908A4">
              <w:rPr>
                <w:b/>
                <w:sz w:val="18"/>
                <w:szCs w:val="18"/>
              </w:rPr>
              <w:t>Requirement</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7908A4" w:rsidRPr="007908A4" w:rsidRDefault="007908A4" w:rsidP="006A3D48">
            <w:pPr>
              <w:spacing w:before="20" w:after="20"/>
              <w:rPr>
                <w:b/>
                <w:sz w:val="18"/>
                <w:szCs w:val="18"/>
              </w:rPr>
            </w:pPr>
            <w:r w:rsidRPr="007908A4">
              <w:rPr>
                <w:b/>
                <w:sz w:val="18"/>
                <w:szCs w:val="18"/>
              </w:rPr>
              <w:t>Contract Section</w:t>
            </w:r>
          </w:p>
        </w:tc>
        <w:tc>
          <w:tcPr>
            <w:tcW w:w="495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908A4" w:rsidRPr="007908A4" w:rsidRDefault="007908A4" w:rsidP="006A3D48">
            <w:pPr>
              <w:spacing w:before="20" w:after="20"/>
              <w:rPr>
                <w:b/>
                <w:sz w:val="18"/>
                <w:szCs w:val="18"/>
              </w:rPr>
            </w:pPr>
            <w:r w:rsidRPr="007908A4">
              <w:rPr>
                <w:b/>
                <w:sz w:val="18"/>
                <w:szCs w:val="18"/>
              </w:rPr>
              <w:t>Evaluation Criteria</w:t>
            </w:r>
          </w:p>
        </w:tc>
        <w:tc>
          <w:tcPr>
            <w:tcW w:w="63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908A4" w:rsidRPr="007908A4" w:rsidRDefault="007908A4" w:rsidP="006A3D48">
            <w:pPr>
              <w:spacing w:before="20" w:after="20"/>
              <w:jc w:val="center"/>
              <w:rPr>
                <w:b/>
                <w:sz w:val="18"/>
                <w:szCs w:val="18"/>
              </w:rPr>
            </w:pPr>
            <w:r w:rsidRPr="007908A4">
              <w:rPr>
                <w:b/>
                <w:sz w:val="18"/>
                <w:szCs w:val="18"/>
              </w:rPr>
              <w:t>Yes</w:t>
            </w:r>
          </w:p>
        </w:tc>
        <w:tc>
          <w:tcPr>
            <w:tcW w:w="63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908A4" w:rsidRPr="007908A4" w:rsidRDefault="007908A4" w:rsidP="006A3D48">
            <w:pPr>
              <w:spacing w:before="20" w:after="20"/>
              <w:jc w:val="center"/>
              <w:rPr>
                <w:b/>
                <w:sz w:val="18"/>
                <w:szCs w:val="18"/>
              </w:rPr>
            </w:pPr>
            <w:r w:rsidRPr="007908A4">
              <w:rPr>
                <w:b/>
                <w:sz w:val="18"/>
                <w:szCs w:val="18"/>
              </w:rPr>
              <w:t>No</w:t>
            </w:r>
          </w:p>
        </w:tc>
        <w:tc>
          <w:tcPr>
            <w:tcW w:w="63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908A4" w:rsidRPr="007908A4" w:rsidRDefault="007908A4" w:rsidP="006A3D48">
            <w:pPr>
              <w:spacing w:before="20" w:after="20"/>
              <w:jc w:val="center"/>
              <w:rPr>
                <w:b/>
                <w:sz w:val="18"/>
                <w:szCs w:val="18"/>
              </w:rPr>
            </w:pPr>
            <w:r w:rsidRPr="007908A4">
              <w:rPr>
                <w:b/>
                <w:sz w:val="18"/>
                <w:szCs w:val="18"/>
              </w:rPr>
              <w:t>N/A</w:t>
            </w:r>
          </w:p>
        </w:tc>
        <w:tc>
          <w:tcPr>
            <w:tcW w:w="396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7908A4" w:rsidRPr="007908A4" w:rsidRDefault="007908A4" w:rsidP="006A3D48">
            <w:pPr>
              <w:spacing w:before="20" w:after="20"/>
              <w:rPr>
                <w:b/>
                <w:sz w:val="18"/>
                <w:szCs w:val="18"/>
              </w:rPr>
            </w:pPr>
            <w:r w:rsidRPr="007908A4">
              <w:rPr>
                <w:b/>
                <w:sz w:val="18"/>
                <w:szCs w:val="18"/>
              </w:rPr>
              <w:t>Comments</w:t>
            </w:r>
          </w:p>
        </w:tc>
      </w:tr>
      <w:tr w:rsidR="007908A4" w:rsidRPr="001410BF" w:rsidTr="006A3D48">
        <w:trPr>
          <w:cantSplit/>
          <w:trHeight w:val="360"/>
        </w:trPr>
        <w:tc>
          <w:tcPr>
            <w:tcW w:w="72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4</w:t>
            </w:r>
          </w:p>
        </w:tc>
        <w:tc>
          <w:tcPr>
            <w:tcW w:w="18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Site Requirements</w:t>
            </w:r>
          </w:p>
        </w:tc>
        <w:tc>
          <w:tcPr>
            <w:tcW w:w="9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II.A.1</w:t>
            </w:r>
          </w:p>
        </w:tc>
        <w:tc>
          <w:tcPr>
            <w:tcW w:w="4950" w:type="dxa"/>
            <w:tcBorders>
              <w:top w:val="single" w:sz="4" w:space="0" w:color="auto"/>
              <w:left w:val="single" w:sz="4" w:space="0" w:color="auto"/>
              <w:bottom w:val="single" w:sz="4" w:space="0" w:color="auto"/>
              <w:right w:val="nil"/>
            </w:tcBorders>
            <w:vAlign w:val="center"/>
          </w:tcPr>
          <w:p w:rsidR="007908A4" w:rsidRPr="006A3D48" w:rsidRDefault="007908A4" w:rsidP="006A3D48">
            <w:pPr>
              <w:spacing w:before="20" w:after="20"/>
              <w:rPr>
                <w:rFonts w:cs="Arial"/>
                <w:szCs w:val="20"/>
              </w:rPr>
            </w:pPr>
            <w:r w:rsidRPr="006A3D48">
              <w:rPr>
                <w:rFonts w:cs="Arial"/>
                <w:szCs w:val="20"/>
              </w:rPr>
              <w:t>The ADRC shall be located in a place that is visible and recognizable to the public.</w:t>
            </w:r>
          </w:p>
        </w:tc>
        <w:bookmarkStart w:id="0" w:name="_GoBack"/>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bookmarkStart w:id="1" w:name="Check1"/>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bookmarkEnd w:id="1"/>
            <w:bookmarkEnd w:id="0"/>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7908A4" w:rsidRDefault="007908A4"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bookmarkStart w:id="2" w:name="Text1"/>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bookmarkEnd w:id="2"/>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vAlign w:val="center"/>
          </w:tcPr>
          <w:p w:rsidR="007908A4" w:rsidRPr="006A3D48" w:rsidRDefault="007908A4" w:rsidP="006A3D48">
            <w:pPr>
              <w:spacing w:before="20" w:after="20"/>
              <w:rPr>
                <w:rFonts w:cs="Arial"/>
                <w:szCs w:val="20"/>
              </w:rPr>
            </w:pPr>
            <w:r w:rsidRPr="006A3D48">
              <w:rPr>
                <w:rFonts w:cs="Arial"/>
                <w:szCs w:val="20"/>
              </w:rPr>
              <w:t>The ADRC shall have public parking available at no cost to the public.</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vAlign w:val="center"/>
          </w:tcPr>
          <w:p w:rsidR="007908A4" w:rsidRPr="006A3D48" w:rsidRDefault="007908A4" w:rsidP="006A3D48">
            <w:pPr>
              <w:spacing w:before="20" w:after="20"/>
              <w:rPr>
                <w:rFonts w:cs="Arial"/>
                <w:szCs w:val="20"/>
              </w:rPr>
            </w:pPr>
            <w:r w:rsidRPr="006A3D48">
              <w:rPr>
                <w:rFonts w:cs="Arial"/>
                <w:szCs w:val="20"/>
              </w:rPr>
              <w:t>Parking for the ADRC shall include accessible parking spaces in compliance with the Americans with Disabilities Act Accessibility Guidelines for Buildings and Facilities (ADAAG).</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vAlign w:val="center"/>
          </w:tcPr>
          <w:p w:rsidR="007908A4" w:rsidRPr="006A3D48" w:rsidRDefault="007908A4" w:rsidP="006A3D48">
            <w:pPr>
              <w:spacing w:before="20" w:after="20"/>
              <w:rPr>
                <w:rFonts w:cs="Arial"/>
                <w:szCs w:val="20"/>
              </w:rPr>
            </w:pPr>
            <w:r w:rsidRPr="006A3D48">
              <w:rPr>
                <w:rFonts w:cs="Arial"/>
                <w:szCs w:val="20"/>
              </w:rPr>
              <w:t>ADRCs that are located in municipalities served by public transportation must be accessible by public transportation.</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7908A4" w:rsidTr="006A3D48">
        <w:trPr>
          <w:cantSplit/>
          <w:trHeight w:val="360"/>
        </w:trPr>
        <w:tc>
          <w:tcPr>
            <w:tcW w:w="72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4</w:t>
            </w:r>
          </w:p>
        </w:tc>
        <w:tc>
          <w:tcPr>
            <w:tcW w:w="18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Signage</w:t>
            </w:r>
          </w:p>
        </w:tc>
        <w:tc>
          <w:tcPr>
            <w:tcW w:w="9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II.A.2</w:t>
            </w:r>
          </w:p>
        </w:tc>
        <w:tc>
          <w:tcPr>
            <w:tcW w:w="495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rPr>
                <w:rFonts w:cs="Arial"/>
                <w:szCs w:val="20"/>
              </w:rPr>
            </w:pPr>
            <w:r w:rsidRPr="006A3D48">
              <w:rPr>
                <w:rFonts w:cs="Arial"/>
                <w:szCs w:val="20"/>
              </w:rPr>
              <w:t>ADRC locations shall have clearly visible signage indicating the presence of the ADRC on both the interior and exterior of the building in which it is located.</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7908A4" w:rsidRDefault="007908A4"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7908A4" w:rsidRPr="006A3D48" w:rsidRDefault="007908A4" w:rsidP="00B37587">
            <w:pPr>
              <w:spacing w:before="20" w:after="20"/>
              <w:rPr>
                <w:rFonts w:cs="Arial"/>
                <w:szCs w:val="20"/>
              </w:rPr>
            </w:pPr>
            <w:r w:rsidRPr="006A3D48">
              <w:rPr>
                <w:rFonts w:cs="Arial"/>
                <w:szCs w:val="20"/>
              </w:rPr>
              <w:t>At least one clearly visible exterior sign, at least one clearly visible interior sign, and all directional signs must show the Department's ADRC Logo.</w:t>
            </w:r>
            <w:r w:rsidR="00B37587">
              <w:rPr>
                <w:rFonts w:cs="Arial"/>
                <w:szCs w:val="20"/>
              </w:rPr>
              <w:t xml:space="preserve"> </w:t>
            </w:r>
            <w:r w:rsidRPr="006A3D48">
              <w:rPr>
                <w:rFonts w:cs="Arial"/>
                <w:szCs w:val="20"/>
              </w:rPr>
              <w:t>Directional signs shall comply with the ADAAG for Buildings and Facilities.</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81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right w:val="nil"/>
            </w:tcBorders>
          </w:tcPr>
          <w:p w:rsidR="007908A4" w:rsidRPr="006A3D48" w:rsidRDefault="007908A4" w:rsidP="00B37587">
            <w:pPr>
              <w:spacing w:before="20" w:after="20"/>
              <w:rPr>
                <w:rFonts w:cs="Arial"/>
                <w:szCs w:val="20"/>
              </w:rPr>
            </w:pPr>
            <w:r w:rsidRPr="006A3D48">
              <w:rPr>
                <w:rFonts w:cs="Arial"/>
                <w:szCs w:val="20"/>
              </w:rPr>
              <w:t>The ADRC shall also be identified on any posted building directories. Directory listings do not need to include the ADRC logo.</w:t>
            </w:r>
          </w:p>
        </w:tc>
        <w:tc>
          <w:tcPr>
            <w:tcW w:w="630" w:type="dxa"/>
            <w:tcBorders>
              <w:top w:val="single" w:sz="4" w:space="0" w:color="auto"/>
              <w:left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7908A4" w:rsidTr="006A3D48">
        <w:trPr>
          <w:cantSplit/>
          <w:trHeight w:val="360"/>
        </w:trPr>
        <w:tc>
          <w:tcPr>
            <w:tcW w:w="72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4</w:t>
            </w:r>
          </w:p>
        </w:tc>
        <w:tc>
          <w:tcPr>
            <w:tcW w:w="18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Facility Requirements</w:t>
            </w:r>
          </w:p>
        </w:tc>
        <w:tc>
          <w:tcPr>
            <w:tcW w:w="990" w:type="dxa"/>
            <w:vMerge w:val="restart"/>
            <w:tcBorders>
              <w:top w:val="single" w:sz="4" w:space="0" w:color="auto"/>
              <w:left w:val="nil"/>
              <w:right w:val="single" w:sz="4" w:space="0" w:color="auto"/>
            </w:tcBorders>
          </w:tcPr>
          <w:p w:rsidR="007908A4" w:rsidRPr="006A3D48" w:rsidRDefault="007908A4" w:rsidP="006A3D48">
            <w:pPr>
              <w:spacing w:before="20" w:after="20"/>
              <w:rPr>
                <w:rFonts w:cs="Arial"/>
                <w:szCs w:val="20"/>
              </w:rPr>
            </w:pPr>
            <w:r w:rsidRPr="006A3D48">
              <w:rPr>
                <w:rFonts w:cs="Arial"/>
                <w:szCs w:val="20"/>
              </w:rPr>
              <w:t>II.A.3</w:t>
            </w:r>
          </w:p>
        </w:tc>
        <w:tc>
          <w:tcPr>
            <w:tcW w:w="4950" w:type="dxa"/>
            <w:tcBorders>
              <w:top w:val="single" w:sz="4" w:space="0" w:color="auto"/>
              <w:left w:val="single" w:sz="4" w:space="0" w:color="auto"/>
              <w:bottom w:val="single" w:sz="4" w:space="0" w:color="auto"/>
              <w:right w:val="nil"/>
            </w:tcBorders>
          </w:tcPr>
          <w:p w:rsidR="007908A4" w:rsidRPr="006A3D48" w:rsidRDefault="007908A4" w:rsidP="00B37587">
            <w:pPr>
              <w:spacing w:before="20" w:after="20"/>
              <w:rPr>
                <w:rFonts w:cs="Arial"/>
                <w:szCs w:val="20"/>
              </w:rPr>
            </w:pPr>
            <w:r w:rsidRPr="006A3D48">
              <w:rPr>
                <w:rFonts w:cs="Arial"/>
                <w:szCs w:val="20"/>
              </w:rPr>
              <w:t>The ADRC is responsible for identifying and addressing barriers to accessibility and complying with federal and state accessibility requirements including the Americans with Disabilities Act Accessibility Guidelines for Buildings and Facilities (ADAAG). The ADRC physical space shall be consistent with the ADAAG guidelines for new buildings.</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7908A4" w:rsidRDefault="007908A4"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7908A4" w:rsidRPr="006A3D48" w:rsidRDefault="007908A4" w:rsidP="00B37587">
            <w:pPr>
              <w:spacing w:before="20" w:after="20"/>
              <w:rPr>
                <w:rFonts w:cs="Arial"/>
                <w:szCs w:val="20"/>
              </w:rPr>
            </w:pPr>
            <w:r w:rsidRPr="006A3D48">
              <w:rPr>
                <w:rFonts w:cs="Arial"/>
                <w:szCs w:val="20"/>
              </w:rPr>
              <w:t>The building and furnishings shall be clean, in good condition, and free of hazards.</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7908A4" w:rsidRPr="006A3D48" w:rsidRDefault="007908A4" w:rsidP="00B37587">
            <w:pPr>
              <w:spacing w:before="20" w:after="20"/>
              <w:rPr>
                <w:rFonts w:cs="Arial"/>
                <w:szCs w:val="20"/>
              </w:rPr>
            </w:pPr>
            <w:r w:rsidRPr="006A3D48">
              <w:rPr>
                <w:rFonts w:cs="Arial"/>
                <w:szCs w:val="20"/>
              </w:rPr>
              <w:t xml:space="preserve">The path that customers must follow to access the ADRC, including sidewalks, doors, hallways, stairs </w:t>
            </w:r>
            <w:r w:rsidRPr="006A3D48">
              <w:rPr>
                <w:rFonts w:cs="Arial"/>
                <w:szCs w:val="20"/>
              </w:rPr>
              <w:lastRenderedPageBreak/>
              <w:t>and elevators, shall be accessible to and shall comfortably accommodate people with limited mobility.</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lastRenderedPageBreak/>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rPr>
                <w:rFonts w:cs="Arial"/>
                <w:szCs w:val="20"/>
              </w:rPr>
            </w:pPr>
            <w:r w:rsidRPr="006A3D48">
              <w:rPr>
                <w:rFonts w:cs="Arial"/>
                <w:szCs w:val="20"/>
              </w:rPr>
              <w:t>Provide hearing loop technology in the reception area and private consultation areas.</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7908A4" w:rsidRPr="001410BF" w:rsidTr="006A3D48">
        <w:trPr>
          <w:cantSplit/>
          <w:trHeight w:val="360"/>
        </w:trPr>
        <w:tc>
          <w:tcPr>
            <w:tcW w:w="72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189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990" w:type="dxa"/>
            <w:vMerge/>
            <w:tcBorders>
              <w:left w:val="nil"/>
              <w:bottom w:val="single" w:sz="4" w:space="0" w:color="auto"/>
              <w:right w:val="single" w:sz="4" w:space="0" w:color="auto"/>
            </w:tcBorders>
            <w:vAlign w:val="center"/>
          </w:tcPr>
          <w:p w:rsidR="007908A4" w:rsidRPr="006A3D48" w:rsidRDefault="007908A4"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rPr>
                <w:rFonts w:cs="Arial"/>
                <w:szCs w:val="20"/>
              </w:rPr>
            </w:pPr>
            <w:r w:rsidRPr="006A3D48">
              <w:rPr>
                <w:rFonts w:cs="Arial"/>
                <w:szCs w:val="20"/>
              </w:rPr>
              <w:t>Have public restrooms for use by ADRC customers that are clearly signed accessible and able to accommodate customers with an attendant of the opposite sex while maintaining privacy for all customers.</w:t>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7908A4" w:rsidRPr="006A3D48" w:rsidRDefault="007908A4"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7908A4" w:rsidRPr="001410BF" w:rsidRDefault="007908A4"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7908A4" w:rsidTr="006A3D48">
        <w:trPr>
          <w:cantSplit/>
          <w:trHeight w:val="360"/>
        </w:trPr>
        <w:tc>
          <w:tcPr>
            <w:tcW w:w="720" w:type="dxa"/>
            <w:vMerge w:val="restart"/>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4 &amp; 5</w:t>
            </w:r>
          </w:p>
        </w:tc>
        <w:tc>
          <w:tcPr>
            <w:tcW w:w="1890" w:type="dxa"/>
            <w:vMerge w:val="restart"/>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Reception Area</w:t>
            </w:r>
          </w:p>
        </w:tc>
        <w:tc>
          <w:tcPr>
            <w:tcW w:w="990" w:type="dxa"/>
            <w:vMerge w:val="restart"/>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II.A.4</w:t>
            </w:r>
          </w:p>
        </w:tc>
        <w:tc>
          <w:tcPr>
            <w:tcW w:w="4950" w:type="dxa"/>
            <w:tcBorders>
              <w:top w:val="single" w:sz="4" w:space="0" w:color="auto"/>
              <w:left w:val="single" w:sz="4" w:space="0" w:color="auto"/>
              <w:bottom w:val="single" w:sz="4" w:space="0" w:color="auto"/>
              <w:right w:val="nil"/>
            </w:tcBorders>
          </w:tcPr>
          <w:p w:rsidR="006A3D48" w:rsidRPr="006A3D48" w:rsidRDefault="006A3D48" w:rsidP="00B37587">
            <w:pPr>
              <w:spacing w:before="20" w:after="20"/>
              <w:rPr>
                <w:rFonts w:cs="Arial"/>
                <w:szCs w:val="20"/>
              </w:rPr>
            </w:pPr>
            <w:r w:rsidRPr="006A3D48">
              <w:rPr>
                <w:rFonts w:cs="Arial"/>
                <w:szCs w:val="20"/>
              </w:rPr>
              <w:t>The ADRC shall have a reception area where customers are greeted and may wait for services. The reception area may be shared with other entities but must be clearly identified and recognizable as the reception and waiting area for the ADRC</w:t>
            </w:r>
            <w:r w:rsidR="00B37587">
              <w:rPr>
                <w:rFonts w:cs="Arial"/>
                <w:szCs w:val="20"/>
              </w:rPr>
              <w:t>.</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7908A4" w:rsidRDefault="006A3D48"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1410BF" w:rsidTr="006A3D48">
        <w:trPr>
          <w:cantSplit/>
          <w:trHeight w:val="360"/>
        </w:trPr>
        <w:tc>
          <w:tcPr>
            <w:tcW w:w="72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18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9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6A3D48" w:rsidRPr="006A3D48" w:rsidRDefault="006A3D48" w:rsidP="00B37587">
            <w:pPr>
              <w:spacing w:before="20" w:after="20"/>
              <w:rPr>
                <w:rFonts w:cs="Arial"/>
                <w:szCs w:val="20"/>
              </w:rPr>
            </w:pPr>
            <w:r w:rsidRPr="006A3D48">
              <w:rPr>
                <w:rFonts w:cs="Arial"/>
                <w:szCs w:val="20"/>
              </w:rPr>
              <w:t>The reception area shall be designed to be functional for and appealing to members of the ADRC customer population</w:t>
            </w:r>
            <w:r w:rsidR="00B37587" w:rsidRPr="006A3D48">
              <w:rPr>
                <w:rFonts w:cs="Arial"/>
                <w:szCs w:val="20"/>
              </w:rPr>
              <w:t xml:space="preserve">. </w:t>
            </w:r>
            <w:r w:rsidRPr="006A3D48">
              <w:rPr>
                <w:rFonts w:cs="Arial"/>
                <w:szCs w:val="20"/>
              </w:rPr>
              <w:t>The reception area shall be accessible, clean, of sufficient size, adequately furnished and arranged comfortably to accommodate people of all ages and disabilities with dignity and respect.</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1410BF" w:rsidRDefault="006A3D48"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1410BF" w:rsidTr="006A3D48">
        <w:trPr>
          <w:cantSplit/>
          <w:trHeight w:val="360"/>
        </w:trPr>
        <w:tc>
          <w:tcPr>
            <w:tcW w:w="72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18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9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rPr>
                <w:rFonts w:cs="Arial"/>
                <w:szCs w:val="20"/>
              </w:rPr>
            </w:pPr>
            <w:r w:rsidRPr="006A3D48">
              <w:rPr>
                <w:rFonts w:cs="Arial"/>
                <w:szCs w:val="20"/>
              </w:rPr>
              <w:t>The reception area shall, as much as possible, be arranged to respect the privacy of customers' conversations with the receptionist</w:t>
            </w:r>
            <w:r w:rsidR="00B37587" w:rsidRPr="006A3D48">
              <w:rPr>
                <w:rFonts w:cs="Arial"/>
                <w:szCs w:val="20"/>
              </w:rPr>
              <w:t xml:space="preserve">. </w:t>
            </w:r>
            <w:r w:rsidRPr="006A3D48">
              <w:rPr>
                <w:rFonts w:cs="Arial"/>
                <w:szCs w:val="20"/>
              </w:rPr>
              <w:t>If sign-in sheets are used, they shall not be viewable by other customers.</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1410BF" w:rsidRDefault="006A3D48"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1410BF" w:rsidTr="006A3D48">
        <w:trPr>
          <w:cantSplit/>
          <w:trHeight w:val="360"/>
        </w:trPr>
        <w:tc>
          <w:tcPr>
            <w:tcW w:w="72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18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990" w:type="dxa"/>
            <w:vMerge/>
            <w:tcBorders>
              <w:left w:val="nil"/>
              <w:right w:val="single" w:sz="4" w:space="0" w:color="auto"/>
            </w:tcBorders>
            <w:vAlign w:val="center"/>
          </w:tcPr>
          <w:p w:rsidR="006A3D48" w:rsidRPr="006A3D48" w:rsidRDefault="006A3D48"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rPr>
                <w:rFonts w:cs="Arial"/>
                <w:szCs w:val="20"/>
              </w:rPr>
            </w:pPr>
            <w:r w:rsidRPr="006A3D48">
              <w:rPr>
                <w:rFonts w:cs="Arial"/>
                <w:szCs w:val="20"/>
              </w:rPr>
              <w:t>Customers entering the reception area shall be promptly greeted by an individual who is knowledgeable about the ADRC's services and ready to assist or direct them to the right person to assist them</w:t>
            </w:r>
            <w:r w:rsidR="00B37587" w:rsidRPr="006A3D48">
              <w:rPr>
                <w:rFonts w:cs="Arial"/>
                <w:szCs w:val="20"/>
              </w:rPr>
              <w:t xml:space="preserve">. </w:t>
            </w:r>
            <w:r w:rsidRPr="006A3D48">
              <w:rPr>
                <w:rFonts w:cs="Arial"/>
                <w:szCs w:val="20"/>
              </w:rPr>
              <w:t>The receptionist and/or person greeting customers need not be solely dedicated to the ADRC, and may hold a position that is shared by the entities using the reception area.</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1410BF" w:rsidRDefault="006A3D48"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1410BF" w:rsidTr="006A3D48">
        <w:trPr>
          <w:cantSplit/>
          <w:trHeight w:val="360"/>
        </w:trPr>
        <w:tc>
          <w:tcPr>
            <w:tcW w:w="720" w:type="dxa"/>
            <w:vMerge/>
            <w:tcBorders>
              <w:left w:val="nil"/>
              <w:bottom w:val="single" w:sz="4" w:space="0" w:color="auto"/>
              <w:right w:val="single" w:sz="4" w:space="0" w:color="auto"/>
            </w:tcBorders>
            <w:vAlign w:val="center"/>
          </w:tcPr>
          <w:p w:rsidR="006A3D48" w:rsidRPr="006A3D48" w:rsidRDefault="006A3D48" w:rsidP="006A3D48">
            <w:pPr>
              <w:spacing w:before="20" w:after="20"/>
              <w:rPr>
                <w:rFonts w:cs="Arial"/>
                <w:szCs w:val="20"/>
              </w:rPr>
            </w:pPr>
          </w:p>
        </w:tc>
        <w:tc>
          <w:tcPr>
            <w:tcW w:w="1890" w:type="dxa"/>
            <w:vMerge/>
            <w:tcBorders>
              <w:left w:val="nil"/>
              <w:bottom w:val="single" w:sz="4" w:space="0" w:color="auto"/>
              <w:right w:val="single" w:sz="4" w:space="0" w:color="auto"/>
            </w:tcBorders>
            <w:vAlign w:val="center"/>
          </w:tcPr>
          <w:p w:rsidR="006A3D48" w:rsidRPr="006A3D48" w:rsidRDefault="006A3D48" w:rsidP="006A3D48">
            <w:pPr>
              <w:spacing w:before="20" w:after="20"/>
              <w:rPr>
                <w:rFonts w:cs="Arial"/>
                <w:szCs w:val="20"/>
              </w:rPr>
            </w:pPr>
          </w:p>
        </w:tc>
        <w:tc>
          <w:tcPr>
            <w:tcW w:w="990" w:type="dxa"/>
            <w:vMerge/>
            <w:tcBorders>
              <w:left w:val="nil"/>
              <w:bottom w:val="single" w:sz="4" w:space="0" w:color="auto"/>
              <w:right w:val="single" w:sz="4" w:space="0" w:color="auto"/>
            </w:tcBorders>
            <w:vAlign w:val="center"/>
          </w:tcPr>
          <w:p w:rsidR="006A3D48" w:rsidRPr="006A3D48" w:rsidRDefault="006A3D48" w:rsidP="006A3D48">
            <w:pPr>
              <w:spacing w:before="20" w:after="20"/>
              <w:rPr>
                <w:rFonts w:cs="Arial"/>
                <w:szCs w:val="20"/>
              </w:rPr>
            </w:pPr>
          </w:p>
        </w:tc>
        <w:tc>
          <w:tcPr>
            <w:tcW w:w="495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rPr>
                <w:rFonts w:cs="Arial"/>
                <w:szCs w:val="20"/>
              </w:rPr>
            </w:pPr>
            <w:r w:rsidRPr="006A3D48">
              <w:rPr>
                <w:rFonts w:cs="Arial"/>
                <w:szCs w:val="20"/>
              </w:rPr>
              <w:t>The reception area shall include display space for fliers, pamphlets and other informational materials or make these materials available in a manner that is that is accessible to visitors.</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1410BF" w:rsidRDefault="006A3D48" w:rsidP="006A3D48">
            <w:pPr>
              <w:spacing w:before="20" w:after="20"/>
              <w:rPr>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7908A4" w:rsidTr="006A3D48">
        <w:trPr>
          <w:cantSplit/>
          <w:trHeight w:val="20"/>
        </w:trPr>
        <w:tc>
          <w:tcPr>
            <w:tcW w:w="72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5</w:t>
            </w:r>
          </w:p>
        </w:tc>
        <w:tc>
          <w:tcPr>
            <w:tcW w:w="189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Privacy and Confidentiality</w:t>
            </w:r>
          </w:p>
        </w:tc>
        <w:tc>
          <w:tcPr>
            <w:tcW w:w="99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II.A.5</w:t>
            </w:r>
          </w:p>
        </w:tc>
        <w:tc>
          <w:tcPr>
            <w:tcW w:w="4950" w:type="dxa"/>
            <w:tcBorders>
              <w:top w:val="single" w:sz="4" w:space="0" w:color="auto"/>
              <w:left w:val="single" w:sz="4" w:space="0" w:color="auto"/>
              <w:right w:val="nil"/>
            </w:tcBorders>
            <w:vAlign w:val="center"/>
          </w:tcPr>
          <w:p w:rsidR="006A3D48" w:rsidRPr="006A3D48" w:rsidRDefault="006A3D48" w:rsidP="006A3D48">
            <w:pPr>
              <w:spacing w:before="20" w:after="20"/>
              <w:rPr>
                <w:rFonts w:cs="Arial"/>
                <w:szCs w:val="20"/>
              </w:rPr>
            </w:pPr>
            <w:r w:rsidRPr="006A3D48">
              <w:rPr>
                <w:rFonts w:cs="Arial"/>
                <w:szCs w:val="20"/>
              </w:rPr>
              <w:t>ADRC specialists and benefit specialists shall have private office space or access to private meeting space, where they can have confidential conversations</w:t>
            </w:r>
            <w:r w:rsidR="00B37587" w:rsidRPr="006A3D48">
              <w:rPr>
                <w:rFonts w:cs="Arial"/>
                <w:szCs w:val="20"/>
              </w:rPr>
              <w:t xml:space="preserve">. </w:t>
            </w:r>
            <w:r w:rsidRPr="006A3D48">
              <w:rPr>
                <w:rFonts w:cs="Arial"/>
                <w:szCs w:val="20"/>
              </w:rPr>
              <w:t xml:space="preserve">Customers and families shall not </w:t>
            </w:r>
            <w:r w:rsidRPr="006A3D48">
              <w:rPr>
                <w:rFonts w:cs="Arial"/>
                <w:szCs w:val="20"/>
              </w:rPr>
              <w:lastRenderedPageBreak/>
              <w:t>experience a delay in meeting with ADRC staff due to lack of private space.</w:t>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lastRenderedPageBreak/>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right w:val="nil"/>
            </w:tcBorders>
          </w:tcPr>
          <w:p w:rsidR="006A3D48" w:rsidRPr="007908A4" w:rsidRDefault="006A3D48"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7908A4" w:rsidTr="006A3D48">
        <w:trPr>
          <w:cantSplit/>
          <w:trHeight w:val="20"/>
        </w:trPr>
        <w:tc>
          <w:tcPr>
            <w:tcW w:w="72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5</w:t>
            </w:r>
          </w:p>
        </w:tc>
        <w:tc>
          <w:tcPr>
            <w:tcW w:w="189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Prohibition of Co</w:t>
            </w:r>
            <w:r w:rsidRPr="006A3D48">
              <w:rPr>
                <w:rFonts w:cs="Arial"/>
                <w:szCs w:val="20"/>
              </w:rPr>
              <w:noBreakHyphen/>
              <w:t>Location with an MCO or IRIS Agency</w:t>
            </w:r>
          </w:p>
        </w:tc>
        <w:tc>
          <w:tcPr>
            <w:tcW w:w="990" w:type="dxa"/>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II.A.6</w:t>
            </w:r>
          </w:p>
        </w:tc>
        <w:tc>
          <w:tcPr>
            <w:tcW w:w="4950" w:type="dxa"/>
            <w:tcBorders>
              <w:top w:val="single" w:sz="4" w:space="0" w:color="auto"/>
              <w:left w:val="single" w:sz="4" w:space="0" w:color="auto"/>
              <w:right w:val="nil"/>
            </w:tcBorders>
            <w:vAlign w:val="center"/>
          </w:tcPr>
          <w:p w:rsidR="006A3D48" w:rsidRPr="006A3D48" w:rsidRDefault="006A3D48" w:rsidP="00B37587">
            <w:pPr>
              <w:spacing w:before="20" w:after="20"/>
              <w:rPr>
                <w:rFonts w:cs="Arial"/>
                <w:szCs w:val="20"/>
              </w:rPr>
            </w:pPr>
            <w:r w:rsidRPr="006A3D48">
              <w:rPr>
                <w:rFonts w:cs="Arial"/>
                <w:szCs w:val="20"/>
              </w:rPr>
              <w:t xml:space="preserve">The ADRC shall not be located in the same building as an MCO, </w:t>
            </w:r>
            <w:r w:rsidR="00B37587" w:rsidRPr="006A3D48">
              <w:rPr>
                <w:rFonts w:cs="Arial"/>
                <w:szCs w:val="20"/>
              </w:rPr>
              <w:t>ICA,</w:t>
            </w:r>
            <w:r w:rsidRPr="006A3D48">
              <w:rPr>
                <w:rFonts w:cs="Arial"/>
                <w:szCs w:val="20"/>
              </w:rPr>
              <w:t xml:space="preserve"> or FEA</w:t>
            </w:r>
            <w:r w:rsidR="00B37587" w:rsidRPr="006A3D48">
              <w:rPr>
                <w:rFonts w:cs="Arial"/>
                <w:szCs w:val="20"/>
              </w:rPr>
              <w:t xml:space="preserve">. </w:t>
            </w:r>
            <w:r w:rsidRPr="006A3D48">
              <w:rPr>
                <w:rFonts w:cs="Arial"/>
                <w:szCs w:val="20"/>
              </w:rPr>
              <w:t xml:space="preserve">Co-location with an MCO, </w:t>
            </w:r>
            <w:r w:rsidR="00B37587" w:rsidRPr="006A3D48">
              <w:rPr>
                <w:rFonts w:cs="Arial"/>
                <w:szCs w:val="20"/>
              </w:rPr>
              <w:t>ICA,</w:t>
            </w:r>
            <w:r w:rsidRPr="006A3D48">
              <w:rPr>
                <w:rFonts w:cs="Arial"/>
                <w:szCs w:val="20"/>
              </w:rPr>
              <w:t xml:space="preserve"> or FEA creates the appearance of conflict of interest</w:t>
            </w:r>
            <w:r w:rsidR="00B37587" w:rsidRPr="006A3D48">
              <w:rPr>
                <w:rFonts w:cs="Arial"/>
                <w:szCs w:val="20"/>
              </w:rPr>
              <w:t xml:space="preserve">. </w:t>
            </w:r>
            <w:r w:rsidRPr="006A3D48">
              <w:rPr>
                <w:rFonts w:cs="Arial"/>
                <w:szCs w:val="20"/>
              </w:rPr>
              <w:t xml:space="preserve">If an MCO, ICA or FEA moves into the same building as the ADRC, the ADRC shall notify the Department within </w:t>
            </w:r>
            <w:r w:rsidR="00B37587">
              <w:rPr>
                <w:rFonts w:cs="Arial"/>
                <w:szCs w:val="20"/>
              </w:rPr>
              <w:t>three</w:t>
            </w:r>
            <w:r w:rsidRPr="006A3D48">
              <w:rPr>
                <w:rFonts w:cs="Arial"/>
                <w:szCs w:val="20"/>
              </w:rPr>
              <w:t xml:space="preserve"> business days.</w:t>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right w:val="nil"/>
            </w:tcBorders>
          </w:tcPr>
          <w:p w:rsidR="006A3D48" w:rsidRPr="007908A4" w:rsidRDefault="006A3D48"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7908A4" w:rsidTr="006A3D48">
        <w:trPr>
          <w:cantSplit/>
          <w:trHeight w:val="20"/>
        </w:trPr>
        <w:tc>
          <w:tcPr>
            <w:tcW w:w="720" w:type="dxa"/>
            <w:vMerge w:val="restart"/>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5</w:t>
            </w:r>
          </w:p>
        </w:tc>
        <w:tc>
          <w:tcPr>
            <w:tcW w:w="1890" w:type="dxa"/>
            <w:vMerge w:val="restart"/>
            <w:tcBorders>
              <w:top w:val="single" w:sz="4" w:space="0" w:color="auto"/>
              <w:left w:val="nil"/>
              <w:right w:val="single" w:sz="4" w:space="0" w:color="auto"/>
            </w:tcBorders>
          </w:tcPr>
          <w:p w:rsidR="006A3D48" w:rsidRPr="006A3D48" w:rsidRDefault="006A3D48" w:rsidP="006A3D48">
            <w:pPr>
              <w:rPr>
                <w:rFonts w:cs="Arial"/>
                <w:szCs w:val="20"/>
              </w:rPr>
            </w:pPr>
            <w:r w:rsidRPr="006A3D48">
              <w:rPr>
                <w:rFonts w:cs="Arial"/>
                <w:szCs w:val="20"/>
              </w:rPr>
              <w:t>Co-Location with an Aging Unit</w:t>
            </w:r>
          </w:p>
        </w:tc>
        <w:tc>
          <w:tcPr>
            <w:tcW w:w="990" w:type="dxa"/>
            <w:vMerge w:val="restart"/>
            <w:tcBorders>
              <w:top w:val="single" w:sz="4" w:space="0" w:color="auto"/>
              <w:left w:val="nil"/>
              <w:right w:val="single" w:sz="4" w:space="0" w:color="auto"/>
            </w:tcBorders>
          </w:tcPr>
          <w:p w:rsidR="006A3D48" w:rsidRPr="006A3D48" w:rsidRDefault="006A3D48" w:rsidP="006A3D48">
            <w:pPr>
              <w:spacing w:before="20" w:after="20"/>
              <w:rPr>
                <w:rFonts w:cs="Arial"/>
                <w:szCs w:val="20"/>
              </w:rPr>
            </w:pPr>
            <w:r w:rsidRPr="006A3D48">
              <w:rPr>
                <w:rFonts w:cs="Arial"/>
                <w:szCs w:val="20"/>
              </w:rPr>
              <w:t>II.A.7</w:t>
            </w:r>
          </w:p>
        </w:tc>
        <w:tc>
          <w:tcPr>
            <w:tcW w:w="4950" w:type="dxa"/>
            <w:tcBorders>
              <w:top w:val="single" w:sz="4" w:space="0" w:color="auto"/>
              <w:left w:val="single" w:sz="4" w:space="0" w:color="auto"/>
              <w:bottom w:val="single" w:sz="4" w:space="0" w:color="auto"/>
              <w:right w:val="nil"/>
            </w:tcBorders>
          </w:tcPr>
          <w:p w:rsidR="006A3D48" w:rsidRPr="006A3D48" w:rsidRDefault="006A3D48" w:rsidP="00B37587">
            <w:pPr>
              <w:spacing w:before="20" w:after="20"/>
              <w:rPr>
                <w:rFonts w:cs="Arial"/>
                <w:szCs w:val="20"/>
              </w:rPr>
            </w:pPr>
            <w:r w:rsidRPr="006A3D48">
              <w:rPr>
                <w:rFonts w:cs="Arial"/>
                <w:szCs w:val="20"/>
              </w:rPr>
              <w:t>An ADRC that is fully integrated with the aging unit shall be co-located with the aging unit</w:t>
            </w:r>
            <w:r w:rsidR="00B37587" w:rsidRPr="006A3D48">
              <w:rPr>
                <w:rFonts w:cs="Arial"/>
                <w:szCs w:val="20"/>
              </w:rPr>
              <w:t xml:space="preserve">. </w:t>
            </w:r>
            <w:r w:rsidRPr="006A3D48">
              <w:rPr>
                <w:rFonts w:cs="Arial"/>
                <w:szCs w:val="20"/>
              </w:rPr>
              <w:t>Co-location streamlines customers' access to services.</w:t>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bottom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bottom w:val="single" w:sz="4" w:space="0" w:color="auto"/>
              <w:right w:val="nil"/>
            </w:tcBorders>
          </w:tcPr>
          <w:p w:rsidR="006A3D48" w:rsidRPr="007908A4" w:rsidRDefault="006A3D48"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r w:rsidR="006A3D48" w:rsidRPr="007908A4" w:rsidTr="006A3D48">
        <w:trPr>
          <w:cantSplit/>
          <w:trHeight w:val="20"/>
        </w:trPr>
        <w:tc>
          <w:tcPr>
            <w:tcW w:w="720" w:type="dxa"/>
            <w:vMerge/>
            <w:tcBorders>
              <w:left w:val="nil"/>
              <w:right w:val="single" w:sz="4" w:space="0" w:color="auto"/>
            </w:tcBorders>
          </w:tcPr>
          <w:p w:rsidR="006A3D48" w:rsidRPr="006A3D48" w:rsidRDefault="006A3D48" w:rsidP="006A3D48">
            <w:pPr>
              <w:spacing w:before="20" w:after="20"/>
              <w:rPr>
                <w:rFonts w:cs="Arial"/>
                <w:szCs w:val="20"/>
              </w:rPr>
            </w:pPr>
          </w:p>
        </w:tc>
        <w:tc>
          <w:tcPr>
            <w:tcW w:w="1890" w:type="dxa"/>
            <w:vMerge/>
            <w:tcBorders>
              <w:left w:val="nil"/>
              <w:right w:val="single" w:sz="4" w:space="0" w:color="auto"/>
            </w:tcBorders>
          </w:tcPr>
          <w:p w:rsidR="006A3D48" w:rsidRPr="006A3D48" w:rsidRDefault="006A3D48" w:rsidP="006A3D48">
            <w:pPr>
              <w:rPr>
                <w:rFonts w:cs="Arial"/>
                <w:szCs w:val="20"/>
              </w:rPr>
            </w:pPr>
          </w:p>
        </w:tc>
        <w:tc>
          <w:tcPr>
            <w:tcW w:w="990" w:type="dxa"/>
            <w:vMerge/>
            <w:tcBorders>
              <w:left w:val="nil"/>
              <w:right w:val="single" w:sz="4" w:space="0" w:color="auto"/>
            </w:tcBorders>
          </w:tcPr>
          <w:p w:rsidR="006A3D48" w:rsidRPr="006A3D48" w:rsidRDefault="006A3D48" w:rsidP="006A3D48">
            <w:pPr>
              <w:spacing w:before="20" w:after="20"/>
              <w:rPr>
                <w:rFonts w:cs="Arial"/>
                <w:szCs w:val="20"/>
              </w:rPr>
            </w:pPr>
          </w:p>
        </w:tc>
        <w:tc>
          <w:tcPr>
            <w:tcW w:w="4950" w:type="dxa"/>
            <w:tcBorders>
              <w:top w:val="single" w:sz="4" w:space="0" w:color="auto"/>
              <w:left w:val="single" w:sz="4" w:space="0" w:color="auto"/>
              <w:right w:val="nil"/>
            </w:tcBorders>
          </w:tcPr>
          <w:p w:rsidR="006A3D48" w:rsidRPr="006A3D48" w:rsidRDefault="006A3D48" w:rsidP="006A3D48">
            <w:pPr>
              <w:spacing w:before="20" w:after="20"/>
              <w:rPr>
                <w:rFonts w:cs="Arial"/>
                <w:szCs w:val="20"/>
              </w:rPr>
            </w:pPr>
            <w:r w:rsidRPr="006A3D48">
              <w:rPr>
                <w:rFonts w:cs="Arial"/>
                <w:szCs w:val="20"/>
              </w:rPr>
              <w:t>ADRCs that are not fully integrated with an aging unit may be co-located, share facilities and share administrative staff with an aging unit to improve customers' access to services.</w:t>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630" w:type="dxa"/>
            <w:tcBorders>
              <w:top w:val="single" w:sz="4" w:space="0" w:color="auto"/>
              <w:left w:val="single" w:sz="4" w:space="0" w:color="auto"/>
              <w:right w:val="nil"/>
            </w:tcBorders>
          </w:tcPr>
          <w:p w:rsidR="006A3D48" w:rsidRPr="006A3D48" w:rsidRDefault="006A3D48" w:rsidP="006A3D48">
            <w:pPr>
              <w:spacing w:before="20" w:after="20"/>
              <w:jc w:val="center"/>
              <w:rPr>
                <w:rFonts w:cs="Arial"/>
                <w:szCs w:val="20"/>
              </w:rPr>
            </w:pPr>
            <w:r w:rsidRPr="006A3D48">
              <w:rPr>
                <w:rFonts w:cs="Arial"/>
                <w:szCs w:val="20"/>
              </w:rPr>
              <w:fldChar w:fldCharType="begin">
                <w:ffData>
                  <w:name w:val="Check1"/>
                  <w:enabled/>
                  <w:calcOnExit w:val="0"/>
                  <w:checkBox>
                    <w:sizeAuto/>
                    <w:default w:val="0"/>
                  </w:checkBox>
                </w:ffData>
              </w:fldChar>
            </w:r>
            <w:r w:rsidRPr="006A3D48">
              <w:rPr>
                <w:rFonts w:cs="Arial"/>
                <w:szCs w:val="20"/>
              </w:rPr>
              <w:instrText xml:space="preserve"> FORMCHECKBOX </w:instrText>
            </w:r>
            <w:r w:rsidR="00605160">
              <w:rPr>
                <w:rFonts w:cs="Arial"/>
                <w:szCs w:val="20"/>
              </w:rPr>
            </w:r>
            <w:r w:rsidR="00605160">
              <w:rPr>
                <w:rFonts w:cs="Arial"/>
                <w:szCs w:val="20"/>
              </w:rPr>
              <w:fldChar w:fldCharType="separate"/>
            </w:r>
            <w:r w:rsidRPr="006A3D48">
              <w:rPr>
                <w:rFonts w:cs="Arial"/>
                <w:szCs w:val="20"/>
              </w:rPr>
              <w:fldChar w:fldCharType="end"/>
            </w:r>
          </w:p>
        </w:tc>
        <w:tc>
          <w:tcPr>
            <w:tcW w:w="3960" w:type="dxa"/>
            <w:tcBorders>
              <w:top w:val="single" w:sz="4" w:space="0" w:color="auto"/>
              <w:left w:val="single" w:sz="4" w:space="0" w:color="auto"/>
              <w:right w:val="nil"/>
            </w:tcBorders>
          </w:tcPr>
          <w:p w:rsidR="006A3D48" w:rsidRPr="007908A4" w:rsidRDefault="006A3D48" w:rsidP="006A3D48">
            <w:pPr>
              <w:spacing w:before="20" w:after="20"/>
              <w:rPr>
                <w:rFonts w:ascii="Times New Roman" w:hAnsi="Times New Roman" w:cs="Times New Roman"/>
                <w:sz w:val="18"/>
                <w:szCs w:val="18"/>
              </w:rPr>
            </w:pPr>
            <w:r w:rsidRPr="007908A4">
              <w:rPr>
                <w:rFonts w:ascii="Times New Roman" w:hAnsi="Times New Roman" w:cs="Times New Roman"/>
                <w:sz w:val="22"/>
                <w:szCs w:val="18"/>
              </w:rPr>
              <w:fldChar w:fldCharType="begin">
                <w:ffData>
                  <w:name w:val="Text1"/>
                  <w:enabled/>
                  <w:calcOnExit w:val="0"/>
                  <w:textInput/>
                </w:ffData>
              </w:fldChar>
            </w:r>
            <w:r w:rsidRPr="007908A4">
              <w:rPr>
                <w:rFonts w:ascii="Times New Roman" w:hAnsi="Times New Roman" w:cs="Times New Roman"/>
                <w:sz w:val="22"/>
                <w:szCs w:val="18"/>
              </w:rPr>
              <w:instrText xml:space="preserve"> FORMTEXT </w:instrText>
            </w:r>
            <w:r w:rsidRPr="007908A4">
              <w:rPr>
                <w:rFonts w:ascii="Times New Roman" w:hAnsi="Times New Roman" w:cs="Times New Roman"/>
                <w:sz w:val="22"/>
                <w:szCs w:val="18"/>
              </w:rPr>
            </w:r>
            <w:r w:rsidRPr="007908A4">
              <w:rPr>
                <w:rFonts w:ascii="Times New Roman" w:hAnsi="Times New Roman" w:cs="Times New Roman"/>
                <w:sz w:val="22"/>
                <w:szCs w:val="18"/>
              </w:rPr>
              <w:fldChar w:fldCharType="separate"/>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noProof/>
                <w:sz w:val="22"/>
                <w:szCs w:val="18"/>
              </w:rPr>
              <w:t> </w:t>
            </w:r>
            <w:r w:rsidRPr="007908A4">
              <w:rPr>
                <w:rFonts w:ascii="Times New Roman" w:hAnsi="Times New Roman" w:cs="Times New Roman"/>
                <w:sz w:val="22"/>
                <w:szCs w:val="18"/>
              </w:rPr>
              <w:fldChar w:fldCharType="end"/>
            </w:r>
          </w:p>
        </w:tc>
      </w:tr>
    </w:tbl>
    <w:p w:rsidR="009736D2" w:rsidRPr="00CB767D" w:rsidRDefault="009736D2" w:rsidP="006A3D48"/>
    <w:sectPr w:rsidR="009736D2" w:rsidRPr="00CB767D" w:rsidSect="007908A4">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A4" w:rsidRDefault="007908A4" w:rsidP="00564392">
      <w:pPr>
        <w:spacing w:after="0"/>
      </w:pPr>
      <w:r>
        <w:separator/>
      </w:r>
    </w:p>
  </w:endnote>
  <w:endnote w:type="continuationSeparator" w:id="0">
    <w:p w:rsidR="007908A4" w:rsidRDefault="007908A4"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A4" w:rsidRDefault="007908A4" w:rsidP="00564392">
      <w:pPr>
        <w:spacing w:after="0"/>
      </w:pPr>
      <w:r>
        <w:separator/>
      </w:r>
    </w:p>
  </w:footnote>
  <w:footnote w:type="continuationSeparator" w:id="0">
    <w:p w:rsidR="007908A4" w:rsidRDefault="007908A4"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4392" w:rsidP="007908A4">
    <w:pPr>
      <w:pStyle w:val="Header"/>
      <w:tabs>
        <w:tab w:val="clear" w:pos="4680"/>
        <w:tab w:val="clear" w:pos="9360"/>
        <w:tab w:val="right" w:pos="14400"/>
      </w:tabs>
      <w:spacing w:after="240"/>
      <w:rPr>
        <w:sz w:val="18"/>
      </w:rPr>
    </w:pPr>
    <w:r w:rsidRPr="00564392">
      <w:rPr>
        <w:sz w:val="18"/>
      </w:rPr>
      <w:t>F-</w:t>
    </w:r>
    <w:r w:rsidR="006A3D48">
      <w:rPr>
        <w:sz w:val="18"/>
      </w:rPr>
      <w:t>02880</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605160">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605160">
      <w:rPr>
        <w:bCs/>
        <w:noProof/>
        <w:sz w:val="18"/>
      </w:rPr>
      <w:t>3</w:t>
    </w:r>
    <w:r w:rsidRPr="00564392">
      <w:rPr>
        <w:bCs/>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ocumentProtection w:edit="forms" w:enforcement="1" w:cryptProviderType="rsaAES" w:cryptAlgorithmClass="hash" w:cryptAlgorithmType="typeAny" w:cryptAlgorithmSid="14" w:cryptSpinCount="100000" w:hash="mYxH2Fnp2NBgt+Xx+BKBqoGVhnSzhICw7I8IvIlZsbQc1uFXCk2UEKcBCX734AFwN1pPxOcUDabsATSN6jjH3w==" w:salt="ox+Ue0pfOiBMpbTRXOoNC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A4"/>
    <w:rsid w:val="00090654"/>
    <w:rsid w:val="001410BF"/>
    <w:rsid w:val="001E43CF"/>
    <w:rsid w:val="0032587C"/>
    <w:rsid w:val="00423FF2"/>
    <w:rsid w:val="00564392"/>
    <w:rsid w:val="00605160"/>
    <w:rsid w:val="006A3D48"/>
    <w:rsid w:val="0075332A"/>
    <w:rsid w:val="007908A4"/>
    <w:rsid w:val="00796953"/>
    <w:rsid w:val="008965D2"/>
    <w:rsid w:val="0090004A"/>
    <w:rsid w:val="00920F6D"/>
    <w:rsid w:val="009736D2"/>
    <w:rsid w:val="00B043A8"/>
    <w:rsid w:val="00B37587"/>
    <w:rsid w:val="00CB767D"/>
    <w:rsid w:val="00CF7822"/>
    <w:rsid w:val="00DF0897"/>
    <w:rsid w:val="00F6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D2A8303-881C-4584-BA37-8F9FDD63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7D"/>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Records\FormFiles\Templates%20&amp;%20Code\New%20Wor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Word Form.dotx</Template>
  <TotalTime>38</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ADRC Location and Physical Space Self-Assessment</vt:lpstr>
    </vt:vector>
  </TitlesOfParts>
  <Company>DHS</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ADRC Location and Physical Space Self-Assessment</dc:title>
  <dc:subject/>
  <dc:creator>ORCD</dc:creator>
  <cp:keywords/>
  <dc:description/>
  <cp:lastModifiedBy>Pritchard, James B</cp:lastModifiedBy>
  <cp:revision>5</cp:revision>
  <dcterms:created xsi:type="dcterms:W3CDTF">2021-09-23T19:25:00Z</dcterms:created>
  <dcterms:modified xsi:type="dcterms:W3CDTF">2021-09-24T12:33:00Z</dcterms:modified>
</cp:coreProperties>
</file>