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10998"/>
      </w:tblGrid>
      <w:tr w:rsidR="00F01ADE" w:rsidRPr="00147D88" w14:paraId="08B9CA81" w14:textId="77777777" w:rsidTr="00CF20BF">
        <w:tc>
          <w:tcPr>
            <w:tcW w:w="10998" w:type="dxa"/>
            <w:tcBorders>
              <w:top w:val="nil"/>
              <w:bottom w:val="nil"/>
            </w:tcBorders>
            <w:shd w:val="clear" w:color="auto" w:fill="auto"/>
          </w:tcPr>
          <w:p w14:paraId="085C862F" w14:textId="77777777" w:rsidR="00F01ADE" w:rsidRPr="002C6CE1" w:rsidRDefault="00F01ADE" w:rsidP="00CF20BF">
            <w:pPr>
              <w:pStyle w:val="forms"/>
              <w:tabs>
                <w:tab w:val="right" w:pos="10710"/>
                <w:tab w:val="right" w:pos="14310"/>
              </w:tabs>
              <w:rPr>
                <w:lang w:val="en-US"/>
              </w:rPr>
            </w:pPr>
            <w:bookmarkStart w:id="0" w:name="_GoBack"/>
            <w:bookmarkEnd w:id="0"/>
            <w:r w:rsidRPr="002C6CE1">
              <w:rPr>
                <w:b/>
                <w:lang w:val="en-US"/>
              </w:rPr>
              <w:t>DEPARTMENT OF HEALTH SERVICES</w:t>
            </w:r>
            <w:r w:rsidRPr="002C6CE1">
              <w:rPr>
                <w:lang w:val="en-US"/>
              </w:rPr>
              <w:tab/>
            </w:r>
            <w:r w:rsidRPr="002C6CE1">
              <w:rPr>
                <w:b/>
                <w:lang w:val="en-US"/>
              </w:rPr>
              <w:t>STATE OF WISCONSIN</w:t>
            </w:r>
          </w:p>
          <w:p w14:paraId="60946462" w14:textId="77777777" w:rsidR="00A03F04" w:rsidRPr="002C6CE1" w:rsidRDefault="00A03F04" w:rsidP="00FC2364">
            <w:pPr>
              <w:pStyle w:val="forms"/>
              <w:tabs>
                <w:tab w:val="right" w:pos="10710"/>
              </w:tabs>
              <w:rPr>
                <w:lang w:val="en-US"/>
              </w:rPr>
            </w:pPr>
            <w:r w:rsidRPr="002C6CE1">
              <w:rPr>
                <w:lang w:val="en-US"/>
              </w:rPr>
              <w:t>Division of Medicaid Services</w:t>
            </w:r>
          </w:p>
          <w:p w14:paraId="37DBDCFE" w14:textId="75368508" w:rsidR="00F01ADE" w:rsidRPr="002C6CE1" w:rsidRDefault="001A368D" w:rsidP="00166E3D">
            <w:pPr>
              <w:pStyle w:val="forms"/>
              <w:tabs>
                <w:tab w:val="right" w:pos="10170"/>
                <w:tab w:val="right" w:pos="10710"/>
              </w:tabs>
              <w:rPr>
                <w:sz w:val="12"/>
                <w:lang w:val="en-US"/>
              </w:rPr>
            </w:pPr>
            <w:r w:rsidRPr="002C6CE1">
              <w:rPr>
                <w:lang w:val="en-US"/>
              </w:rPr>
              <w:t>F-20985</w:t>
            </w:r>
            <w:r w:rsidR="002C6CE1">
              <w:rPr>
                <w:lang w:val="en-US"/>
              </w:rPr>
              <w:t>S</w:t>
            </w:r>
            <w:r w:rsidRPr="002C6CE1">
              <w:rPr>
                <w:lang w:val="en-US"/>
              </w:rPr>
              <w:t xml:space="preserve">  (11/2020)</w:t>
            </w:r>
          </w:p>
        </w:tc>
      </w:tr>
      <w:tr w:rsidR="00F01ADE" w:rsidRPr="00E358A8" w14:paraId="6ED1F597" w14:textId="77777777" w:rsidTr="00CF20BF">
        <w:tc>
          <w:tcPr>
            <w:tcW w:w="10998" w:type="dxa"/>
            <w:tcBorders>
              <w:top w:val="nil"/>
              <w:bottom w:val="nil"/>
            </w:tcBorders>
            <w:shd w:val="clear" w:color="auto" w:fill="auto"/>
          </w:tcPr>
          <w:p w14:paraId="7AD3C9D9" w14:textId="77777777" w:rsidR="00F01ADE" w:rsidRPr="002C6CE1" w:rsidRDefault="00D832BA" w:rsidP="00CF20BF">
            <w:pPr>
              <w:spacing w:before="120" w:after="60"/>
              <w:jc w:val="center"/>
              <w:rPr>
                <w:rFonts w:ascii="Arial" w:hAnsi="Arial" w:cs="Arial"/>
                <w:b/>
                <w:caps/>
                <w:sz w:val="24"/>
                <w:szCs w:val="24"/>
              </w:rPr>
            </w:pPr>
            <w:r w:rsidRPr="002C6CE1">
              <w:rPr>
                <w:rFonts w:ascii="Arial" w:hAnsi="Arial"/>
                <w:b/>
                <w:caps/>
                <w:sz w:val="24"/>
              </w:rPr>
              <w:t>Notificación de derechos y responsabilidades del participante</w:t>
            </w:r>
          </w:p>
          <w:p w14:paraId="5A9A5C40" w14:textId="02383E76" w:rsidR="00CE1167" w:rsidRPr="002C6CE1" w:rsidRDefault="00CE1167" w:rsidP="00CE1167">
            <w:pPr>
              <w:spacing w:after="120"/>
              <w:jc w:val="center"/>
              <w:rPr>
                <w:rFonts w:ascii="Arial" w:hAnsi="Arial" w:cs="Arial"/>
                <w:b/>
                <w:caps/>
                <w:sz w:val="20"/>
                <w:lang w:val="en-US"/>
              </w:rPr>
            </w:pPr>
            <w:r w:rsidRPr="002C6CE1">
              <w:rPr>
                <w:rFonts w:ascii="Arial" w:hAnsi="Arial"/>
                <w:b/>
                <w:caps/>
                <w:sz w:val="20"/>
                <w:lang w:val="en-US"/>
              </w:rPr>
              <w:t>(Participant rights and responsibilities notification)</w:t>
            </w:r>
          </w:p>
        </w:tc>
      </w:tr>
      <w:tr w:rsidR="00A170FA" w:rsidRPr="002C6CE1" w14:paraId="0BEF6142" w14:textId="77777777" w:rsidTr="00CF20BF">
        <w:tc>
          <w:tcPr>
            <w:tcW w:w="10998" w:type="dxa"/>
            <w:tcBorders>
              <w:top w:val="nil"/>
              <w:bottom w:val="nil"/>
            </w:tcBorders>
            <w:shd w:val="clear" w:color="auto" w:fill="auto"/>
          </w:tcPr>
          <w:p w14:paraId="07C782BE" w14:textId="366A386F" w:rsidR="00A170FA" w:rsidRPr="002C6CE1" w:rsidRDefault="00A170FA" w:rsidP="006708FC">
            <w:pPr>
              <w:pStyle w:val="forms"/>
              <w:rPr>
                <w:color w:val="000000" w:themeColor="text1"/>
                <w:sz w:val="22"/>
                <w:szCs w:val="22"/>
              </w:rPr>
            </w:pPr>
            <w:r w:rsidRPr="002C6CE1">
              <w:rPr>
                <w:color w:val="000000" w:themeColor="text1"/>
                <w:sz w:val="22"/>
              </w:rPr>
              <w:t>Este formulario cumple con las disposiciones del Manual de exención de Medicaid Home and Community-Based Services (Servicios Basados en el Hogar y la Comunidad de Medicaid) (HCBS) para el Children’s Long Term Support (CLTS) Waiver Program (Programa de Exención de Apoyo a Largo Plazo para Niños) (P</w:t>
            </w:r>
            <w:r w:rsidR="006708FC">
              <w:rPr>
                <w:color w:val="000000" w:themeColor="text1"/>
                <w:sz w:val="22"/>
              </w:rPr>
              <w:noBreakHyphen/>
            </w:r>
            <w:r w:rsidRPr="002C6CE1">
              <w:rPr>
                <w:color w:val="000000" w:themeColor="text1"/>
                <w:sz w:val="22"/>
              </w:rPr>
              <w:t>02256), capítulo 8.</w:t>
            </w:r>
          </w:p>
        </w:tc>
      </w:tr>
    </w:tbl>
    <w:p w14:paraId="7972D739" w14:textId="77777777" w:rsidR="00D832BA" w:rsidRPr="002C6CE1" w:rsidRDefault="00D832BA" w:rsidP="00D832BA">
      <w:pPr>
        <w:pStyle w:val="forms"/>
        <w:rPr>
          <w:sz w:val="2"/>
          <w:szCs w:val="2"/>
        </w:rPr>
        <w:sectPr w:rsidR="00D832BA" w:rsidRPr="002C6CE1" w:rsidSect="004521D0">
          <w:type w:val="continuous"/>
          <w:pgSz w:w="12240" w:h="15840"/>
          <w:pgMar w:top="576" w:right="720" w:bottom="576" w:left="720" w:header="720" w:footer="720" w:gutter="0"/>
          <w:cols w:space="720"/>
        </w:sectPr>
      </w:pPr>
    </w:p>
    <w:tbl>
      <w:tblPr>
        <w:tblW w:w="10998" w:type="dxa"/>
        <w:tblBorders>
          <w:bottom w:val="single" w:sz="4" w:space="0" w:color="auto"/>
          <w:insideH w:val="single" w:sz="4" w:space="0" w:color="auto"/>
        </w:tblBorders>
        <w:tblLayout w:type="fixed"/>
        <w:tblLook w:val="01E0" w:firstRow="1" w:lastRow="1" w:firstColumn="1" w:lastColumn="1" w:noHBand="0" w:noVBand="0"/>
      </w:tblPr>
      <w:tblGrid>
        <w:gridCol w:w="7740"/>
        <w:gridCol w:w="3258"/>
      </w:tblGrid>
      <w:tr w:rsidR="00DB061E" w:rsidRPr="002C6CE1" w14:paraId="3D1674FE" w14:textId="77777777" w:rsidTr="00CF20BF">
        <w:tc>
          <w:tcPr>
            <w:tcW w:w="10998" w:type="dxa"/>
            <w:gridSpan w:val="2"/>
            <w:tcBorders>
              <w:top w:val="nil"/>
              <w:bottom w:val="nil"/>
            </w:tcBorders>
            <w:shd w:val="clear" w:color="auto" w:fill="auto"/>
          </w:tcPr>
          <w:p w14:paraId="45B79307" w14:textId="77777777" w:rsidR="00DB061E" w:rsidRPr="002C6CE1" w:rsidRDefault="00DB061E" w:rsidP="00DB061E">
            <w:pPr>
              <w:pStyle w:val="forms"/>
              <w:rPr>
                <w:sz w:val="8"/>
                <w:szCs w:val="8"/>
              </w:rPr>
            </w:pPr>
          </w:p>
          <w:p w14:paraId="2E904DFC" w14:textId="77B56531" w:rsidR="00DB061E" w:rsidRPr="002C6CE1" w:rsidRDefault="00DB061E" w:rsidP="00DB061E">
            <w:pPr>
              <w:pStyle w:val="BodyText"/>
              <w:rPr>
                <w:sz w:val="22"/>
                <w:szCs w:val="22"/>
              </w:rPr>
            </w:pPr>
            <w:r w:rsidRPr="002C6CE1">
              <w:rPr>
                <w:sz w:val="22"/>
              </w:rPr>
              <w:t xml:space="preserve">Como solicitante/participante del CLTS Waiver Program (Programa de exención de CLTS), tiene derechos y responsabilidades específicos. </w:t>
            </w:r>
          </w:p>
          <w:p w14:paraId="710C793C" w14:textId="77777777" w:rsidR="00DB061E" w:rsidRPr="002C6CE1" w:rsidRDefault="00DB061E" w:rsidP="00DB061E">
            <w:pPr>
              <w:rPr>
                <w:sz w:val="12"/>
                <w:szCs w:val="12"/>
              </w:rPr>
            </w:pPr>
          </w:p>
          <w:p w14:paraId="0693F7F3" w14:textId="04F7F9B9" w:rsidR="00DB061E" w:rsidRPr="002C6CE1" w:rsidRDefault="00DB061E" w:rsidP="00CF20BF">
            <w:pPr>
              <w:numPr>
                <w:ilvl w:val="0"/>
                <w:numId w:val="1"/>
              </w:numPr>
              <w:tabs>
                <w:tab w:val="clear" w:pos="720"/>
                <w:tab w:val="left" w:pos="360"/>
                <w:tab w:val="num" w:pos="1080"/>
              </w:tabs>
              <w:rPr>
                <w:b/>
                <w:szCs w:val="22"/>
              </w:rPr>
            </w:pPr>
            <w:r w:rsidRPr="002C6CE1">
              <w:rPr>
                <w:b/>
              </w:rPr>
              <w:t>Solicitud del CLTS Waiver Program (Programa de exención CLTS)</w:t>
            </w:r>
          </w:p>
          <w:p w14:paraId="759BD035" w14:textId="77777777" w:rsidR="00DB061E" w:rsidRPr="002C6CE1" w:rsidRDefault="00DB061E" w:rsidP="00CF20BF">
            <w:pPr>
              <w:tabs>
                <w:tab w:val="left" w:pos="360"/>
                <w:tab w:val="num" w:pos="1080"/>
              </w:tabs>
              <w:ind w:left="720" w:hanging="720"/>
              <w:rPr>
                <w:sz w:val="12"/>
                <w:szCs w:val="12"/>
              </w:rPr>
            </w:pPr>
          </w:p>
          <w:p w14:paraId="758F8486" w14:textId="5CBEDCD0" w:rsidR="00266B63" w:rsidRPr="002C6CE1" w:rsidRDefault="00DB061E" w:rsidP="00266B63">
            <w:pPr>
              <w:pStyle w:val="BodyTextIndent"/>
              <w:numPr>
                <w:ilvl w:val="0"/>
                <w:numId w:val="2"/>
              </w:numPr>
              <w:tabs>
                <w:tab w:val="clear" w:pos="1440"/>
                <w:tab w:val="left" w:pos="360"/>
                <w:tab w:val="left" w:pos="720"/>
                <w:tab w:val="num" w:pos="1080"/>
                <w:tab w:val="num" w:pos="1620"/>
              </w:tabs>
              <w:ind w:left="720" w:hanging="360"/>
              <w:rPr>
                <w:sz w:val="22"/>
                <w:szCs w:val="22"/>
              </w:rPr>
            </w:pPr>
            <w:r w:rsidRPr="002C6CE1">
              <w:rPr>
                <w:sz w:val="22"/>
              </w:rPr>
              <w:t>Tiene derecho a que le informen sobre los servicios que el CLTS Waiver Program (Programa de exención de CLTS) y otros programas pueden proveer y financiar.</w:t>
            </w:r>
          </w:p>
          <w:p w14:paraId="1DDC11E0" w14:textId="77777777" w:rsidR="000B419D" w:rsidRPr="002C6CE1" w:rsidRDefault="000B419D" w:rsidP="003E7575">
            <w:pPr>
              <w:pStyle w:val="BodyTextIndent"/>
              <w:tabs>
                <w:tab w:val="left" w:pos="360"/>
                <w:tab w:val="left" w:pos="720"/>
                <w:tab w:val="num" w:pos="1620"/>
              </w:tabs>
              <w:ind w:left="720" w:firstLine="0"/>
              <w:rPr>
                <w:sz w:val="8"/>
                <w:szCs w:val="8"/>
              </w:rPr>
            </w:pPr>
          </w:p>
          <w:p w14:paraId="1EA68855" w14:textId="372AF2B0" w:rsidR="00266B63" w:rsidRPr="002C6CE1" w:rsidRDefault="00DB061E" w:rsidP="00266B63">
            <w:pPr>
              <w:pStyle w:val="BodyTextIndent"/>
              <w:numPr>
                <w:ilvl w:val="0"/>
                <w:numId w:val="2"/>
              </w:numPr>
              <w:tabs>
                <w:tab w:val="clear" w:pos="1440"/>
                <w:tab w:val="left" w:pos="360"/>
                <w:tab w:val="left" w:pos="720"/>
                <w:tab w:val="num" w:pos="1080"/>
                <w:tab w:val="num" w:pos="1620"/>
              </w:tabs>
              <w:ind w:left="720" w:hanging="360"/>
              <w:rPr>
                <w:sz w:val="22"/>
                <w:szCs w:val="22"/>
              </w:rPr>
            </w:pPr>
            <w:r w:rsidRPr="002C6CE1">
              <w:rPr>
                <w:sz w:val="22"/>
              </w:rPr>
              <w:t xml:space="preserve">Tiene derecho a solicitar el CLTS Waiver Program (Programa de exención de CLTS). Tiene derecho a no participar en el CLTS Waiver Program (Programa de exención de CLTS). La autorización de servicios a través del CLTS Waiver Program (Programa de exención de CLTS) debe ser coordinada con otras fuentes de financiamiento.  </w:t>
            </w:r>
          </w:p>
          <w:p w14:paraId="75C8E311" w14:textId="77777777" w:rsidR="000B419D" w:rsidRPr="002C6CE1" w:rsidRDefault="000B419D" w:rsidP="00B50B72">
            <w:pPr>
              <w:pStyle w:val="BodyTextIndent"/>
              <w:tabs>
                <w:tab w:val="left" w:pos="360"/>
                <w:tab w:val="left" w:pos="720"/>
                <w:tab w:val="num" w:pos="1620"/>
              </w:tabs>
              <w:ind w:left="0" w:firstLine="0"/>
              <w:rPr>
                <w:sz w:val="8"/>
                <w:szCs w:val="8"/>
              </w:rPr>
            </w:pPr>
          </w:p>
          <w:p w14:paraId="36BBFA3D" w14:textId="5AA4C49B" w:rsidR="00266B63" w:rsidRPr="002C6CE1" w:rsidRDefault="00266B63" w:rsidP="003E7575">
            <w:pPr>
              <w:pStyle w:val="BodyTextIndent"/>
              <w:numPr>
                <w:ilvl w:val="0"/>
                <w:numId w:val="2"/>
              </w:numPr>
              <w:tabs>
                <w:tab w:val="clear" w:pos="1440"/>
                <w:tab w:val="left" w:pos="360"/>
                <w:tab w:val="left" w:pos="720"/>
                <w:tab w:val="num" w:pos="1080"/>
                <w:tab w:val="num" w:pos="1620"/>
              </w:tabs>
              <w:ind w:left="720" w:hanging="360"/>
            </w:pPr>
            <w:r w:rsidRPr="002C6CE1">
              <w:rPr>
                <w:sz w:val="22"/>
              </w:rPr>
              <w:t xml:space="preserve">Tiene derecho a que el personal de la agencia de exención se comunique con usted para programar una visita a domicilio dentro de un plazo de 10 días calendario a partir de la fecha de referencia.  </w:t>
            </w:r>
          </w:p>
          <w:p w14:paraId="647BC1C3" w14:textId="77777777" w:rsidR="000B419D" w:rsidRPr="002C6CE1" w:rsidRDefault="000B419D" w:rsidP="003E7575">
            <w:pPr>
              <w:pStyle w:val="BodyTextIndent"/>
              <w:tabs>
                <w:tab w:val="left" w:pos="360"/>
                <w:tab w:val="left" w:pos="720"/>
                <w:tab w:val="num" w:pos="1620"/>
              </w:tabs>
              <w:ind w:left="0" w:firstLine="0"/>
              <w:rPr>
                <w:sz w:val="8"/>
                <w:szCs w:val="8"/>
              </w:rPr>
            </w:pPr>
          </w:p>
          <w:p w14:paraId="7AC53A3E" w14:textId="1ADBDF03" w:rsidR="00266B63" w:rsidRPr="002C6CE1" w:rsidRDefault="0067665C" w:rsidP="003E7575">
            <w:pPr>
              <w:pStyle w:val="BodyTextIndent"/>
              <w:numPr>
                <w:ilvl w:val="0"/>
                <w:numId w:val="2"/>
              </w:numPr>
              <w:tabs>
                <w:tab w:val="clear" w:pos="1440"/>
                <w:tab w:val="left" w:pos="360"/>
                <w:tab w:val="left" w:pos="720"/>
                <w:tab w:val="num" w:pos="1080"/>
                <w:tab w:val="num" w:pos="1620"/>
              </w:tabs>
              <w:ind w:left="720" w:hanging="360"/>
            </w:pPr>
            <w:r w:rsidRPr="002C6CE1">
              <w:t xml:space="preserve">Tiene derecho a que una persona calificada complete una determinación de elegibilidad para el CLTS Waiver Program (Programa de exención de CLTS) dentro de un plazo de </w:t>
            </w:r>
            <w:r w:rsidRPr="002C6CE1">
              <w:rPr>
                <w:sz w:val="22"/>
              </w:rPr>
              <w:t xml:space="preserve">45 días calendario a partir de la fecha de referencia. </w:t>
            </w:r>
          </w:p>
          <w:p w14:paraId="7B5845A5" w14:textId="77777777" w:rsidR="000B419D" w:rsidRPr="002C6CE1" w:rsidRDefault="000B419D" w:rsidP="003E7575">
            <w:pPr>
              <w:pStyle w:val="BodyTextIndent"/>
              <w:tabs>
                <w:tab w:val="left" w:pos="360"/>
                <w:tab w:val="left" w:pos="720"/>
                <w:tab w:val="num" w:pos="1620"/>
              </w:tabs>
              <w:ind w:left="0" w:firstLine="0"/>
              <w:rPr>
                <w:sz w:val="8"/>
                <w:szCs w:val="8"/>
              </w:rPr>
            </w:pPr>
          </w:p>
          <w:p w14:paraId="0474C527" w14:textId="77777777" w:rsidR="00DB061E" w:rsidRPr="002C6CE1" w:rsidRDefault="00DB061E" w:rsidP="003E7575">
            <w:pPr>
              <w:pStyle w:val="BodyTextIndent"/>
              <w:numPr>
                <w:ilvl w:val="0"/>
                <w:numId w:val="2"/>
              </w:numPr>
              <w:tabs>
                <w:tab w:val="clear" w:pos="1440"/>
                <w:tab w:val="left" w:pos="360"/>
                <w:tab w:val="left" w:pos="720"/>
                <w:tab w:val="num" w:pos="1080"/>
                <w:tab w:val="num" w:pos="1620"/>
              </w:tabs>
              <w:ind w:left="720" w:hanging="360"/>
              <w:rPr>
                <w:sz w:val="22"/>
              </w:rPr>
            </w:pPr>
            <w:r w:rsidRPr="002C6CE1">
              <w:rPr>
                <w:sz w:val="22"/>
              </w:rPr>
              <w:t>Si su solicitud es rechazada, tiene derecho a presentar una queja formal en el condado o una apelación ante el estado, o ambos. Tiene derecho a que le informen cómo presentar una queja formal o una apelación y a recibir ayuda para realizar dicha presentación.</w:t>
            </w:r>
          </w:p>
          <w:p w14:paraId="0EBC268A" w14:textId="77777777" w:rsidR="003D541B" w:rsidRPr="002C6CE1" w:rsidRDefault="003D541B" w:rsidP="00076063"/>
          <w:p w14:paraId="631F268A" w14:textId="77777777" w:rsidR="00DB061E" w:rsidRPr="002C6CE1" w:rsidRDefault="00DB061E" w:rsidP="00D832BA">
            <w:pPr>
              <w:pStyle w:val="forms"/>
              <w:rPr>
                <w:sz w:val="12"/>
                <w:szCs w:val="12"/>
              </w:rPr>
            </w:pPr>
          </w:p>
        </w:tc>
      </w:tr>
      <w:tr w:rsidR="00A708E0" w:rsidRPr="002C6CE1" w14:paraId="32B47490" w14:textId="77777777" w:rsidTr="00CF20BF">
        <w:tc>
          <w:tcPr>
            <w:tcW w:w="10998" w:type="dxa"/>
            <w:gridSpan w:val="2"/>
            <w:tcBorders>
              <w:top w:val="nil"/>
              <w:bottom w:val="nil"/>
            </w:tcBorders>
            <w:shd w:val="clear" w:color="auto" w:fill="auto"/>
          </w:tcPr>
          <w:p w14:paraId="21930D97" w14:textId="4A03F9E7" w:rsidR="00A708E0" w:rsidRPr="002C6CE1" w:rsidRDefault="00A708E0" w:rsidP="00CF20BF">
            <w:pPr>
              <w:pStyle w:val="Heading3"/>
              <w:keepNext w:val="0"/>
              <w:tabs>
                <w:tab w:val="clear" w:pos="720"/>
                <w:tab w:val="left" w:pos="360"/>
                <w:tab w:val="num" w:pos="1080"/>
              </w:tabs>
              <w:rPr>
                <w:sz w:val="22"/>
                <w:szCs w:val="22"/>
              </w:rPr>
            </w:pPr>
            <w:r w:rsidRPr="002C6CE1">
              <w:rPr>
                <w:sz w:val="22"/>
              </w:rPr>
              <w:t>Decisión con respecto a qué servicios recibe del CLTS Waiver Program (Programa de exención de CLTS)</w:t>
            </w:r>
          </w:p>
          <w:p w14:paraId="217D211D" w14:textId="77777777" w:rsidR="00A708E0" w:rsidRPr="002C6CE1" w:rsidRDefault="00A708E0" w:rsidP="00CF20BF">
            <w:pPr>
              <w:tabs>
                <w:tab w:val="left" w:pos="555"/>
                <w:tab w:val="num" w:pos="1080"/>
              </w:tabs>
              <w:rPr>
                <w:sz w:val="12"/>
                <w:szCs w:val="12"/>
              </w:rPr>
            </w:pPr>
          </w:p>
          <w:p w14:paraId="586C2568" w14:textId="4A632D84" w:rsidR="00A708E0" w:rsidRPr="002C6CE1" w:rsidRDefault="00A708E0" w:rsidP="00CF20BF">
            <w:pPr>
              <w:pStyle w:val="BodyTextIndent"/>
              <w:numPr>
                <w:ilvl w:val="0"/>
                <w:numId w:val="3"/>
              </w:numPr>
              <w:tabs>
                <w:tab w:val="clear" w:pos="1440"/>
                <w:tab w:val="left" w:pos="360"/>
                <w:tab w:val="num" w:pos="720"/>
              </w:tabs>
              <w:ind w:left="720" w:hanging="360"/>
              <w:rPr>
                <w:sz w:val="22"/>
                <w:szCs w:val="22"/>
              </w:rPr>
            </w:pPr>
            <w:r w:rsidRPr="002C6CE1">
              <w:rPr>
                <w:sz w:val="22"/>
              </w:rPr>
              <w:t>Si su determinación de elegibilidad se aprueba y usted decide inscribirse, tiene derecho a que se realice una evaluación de sus necesidades y a completar conjuntamente un Individual Service Plan (Plan de servicio individual) en un plazo de 60 días.</w:t>
            </w:r>
          </w:p>
          <w:p w14:paraId="47E3F8BF" w14:textId="77777777" w:rsidR="00A708E0" w:rsidRPr="002C6CE1" w:rsidRDefault="00A708E0" w:rsidP="00CF20BF">
            <w:pPr>
              <w:pStyle w:val="BodyTextIndent"/>
              <w:tabs>
                <w:tab w:val="left" w:pos="360"/>
              </w:tabs>
              <w:ind w:left="360" w:firstLine="0"/>
              <w:rPr>
                <w:sz w:val="8"/>
                <w:szCs w:val="8"/>
              </w:rPr>
            </w:pPr>
          </w:p>
          <w:p w14:paraId="0FCA9BCB" w14:textId="2C4EC519" w:rsidR="007073CF" w:rsidRPr="002C6CE1" w:rsidRDefault="007073CF" w:rsidP="007073CF">
            <w:pPr>
              <w:numPr>
                <w:ilvl w:val="0"/>
                <w:numId w:val="3"/>
              </w:numPr>
              <w:tabs>
                <w:tab w:val="clear" w:pos="1440"/>
                <w:tab w:val="left" w:pos="360"/>
                <w:tab w:val="num" w:pos="720"/>
              </w:tabs>
              <w:ind w:left="720" w:hanging="360"/>
              <w:rPr>
                <w:szCs w:val="22"/>
              </w:rPr>
            </w:pPr>
            <w:r w:rsidRPr="002C6CE1">
              <w:t>Tiene derecho a ser parte del proceso de planificación y a expresar sus opiniones y preferencias.  Tiene derecho a invitar a amigos, familiares o cualquier otra persona que elija para que forme parte de este proceso. Tiene derecho a dirigir estas reuniones y a que se realicen en un momento y lugar que sea conveniente para usted y las personas que desee que estén presentes, excepto la reunión anual que debe realizarse en el hogar.</w:t>
            </w:r>
          </w:p>
          <w:p w14:paraId="6AC77D81" w14:textId="77777777" w:rsidR="0098260B" w:rsidRPr="002C6CE1" w:rsidRDefault="0098260B" w:rsidP="00266B63">
            <w:pPr>
              <w:pStyle w:val="BodyTextIndent"/>
              <w:tabs>
                <w:tab w:val="left" w:pos="360"/>
              </w:tabs>
              <w:ind w:left="720" w:firstLine="0"/>
              <w:rPr>
                <w:sz w:val="8"/>
                <w:szCs w:val="8"/>
              </w:rPr>
            </w:pPr>
          </w:p>
          <w:p w14:paraId="0226B800" w14:textId="77777777" w:rsidR="00584C20" w:rsidRPr="002C6CE1" w:rsidRDefault="00A708E0" w:rsidP="00266B63">
            <w:pPr>
              <w:numPr>
                <w:ilvl w:val="0"/>
                <w:numId w:val="3"/>
              </w:numPr>
              <w:tabs>
                <w:tab w:val="clear" w:pos="1440"/>
                <w:tab w:val="left" w:pos="360"/>
                <w:tab w:val="num" w:pos="720"/>
              </w:tabs>
              <w:ind w:left="720" w:hanging="360"/>
              <w:rPr>
                <w:szCs w:val="22"/>
              </w:rPr>
            </w:pPr>
            <w:r w:rsidRPr="002C6CE1">
              <w:t>Si lo solicita, tiene derecho a recibir por escrito una copia y una explicación de su evaluación y cualquier otro documento o informe en su expediente.</w:t>
            </w:r>
          </w:p>
          <w:p w14:paraId="226D8E7A" w14:textId="77777777" w:rsidR="008B06AC" w:rsidRPr="002C6CE1" w:rsidRDefault="008B06AC" w:rsidP="008B06AC">
            <w:pPr>
              <w:tabs>
                <w:tab w:val="left" w:pos="360"/>
              </w:tabs>
              <w:rPr>
                <w:sz w:val="8"/>
                <w:szCs w:val="8"/>
              </w:rPr>
            </w:pPr>
          </w:p>
          <w:p w14:paraId="5FFF93D2" w14:textId="77777777" w:rsidR="00584C20" w:rsidRPr="002C6CE1" w:rsidRDefault="00584C20" w:rsidP="00CF20BF">
            <w:pPr>
              <w:numPr>
                <w:ilvl w:val="0"/>
                <w:numId w:val="3"/>
              </w:numPr>
              <w:tabs>
                <w:tab w:val="clear" w:pos="1440"/>
                <w:tab w:val="left" w:pos="360"/>
                <w:tab w:val="num" w:pos="720"/>
              </w:tabs>
              <w:ind w:left="720" w:hanging="360"/>
              <w:rPr>
                <w:szCs w:val="22"/>
              </w:rPr>
            </w:pPr>
            <w:r w:rsidRPr="002C6CE1">
              <w:t xml:space="preserve">Tiene derecho a ser informado por escrito, dentro de un plazo de 14 días calendario a partir de la solicitud, si un artículo o servicio solicitado fue autorizado o rechazado.  Esta decisión puede extenderse por otros 14 días calendario adicionales; y tiene derecho a ser informado sobre la extensión del plazo.  </w:t>
            </w:r>
          </w:p>
          <w:p w14:paraId="6AD6C44A" w14:textId="77777777" w:rsidR="00A708E0" w:rsidRPr="002C6CE1" w:rsidRDefault="00A708E0" w:rsidP="00CF20BF">
            <w:pPr>
              <w:tabs>
                <w:tab w:val="left" w:pos="360"/>
                <w:tab w:val="num" w:pos="720"/>
              </w:tabs>
              <w:ind w:left="720" w:hanging="360"/>
              <w:rPr>
                <w:sz w:val="8"/>
                <w:szCs w:val="8"/>
              </w:rPr>
            </w:pPr>
          </w:p>
          <w:p w14:paraId="4C354564" w14:textId="26651F46" w:rsidR="00A708E0" w:rsidRPr="00835A37" w:rsidRDefault="00A708E0" w:rsidP="00CF20BF">
            <w:pPr>
              <w:numPr>
                <w:ilvl w:val="0"/>
                <w:numId w:val="3"/>
              </w:numPr>
              <w:tabs>
                <w:tab w:val="clear" w:pos="1440"/>
                <w:tab w:val="left" w:pos="360"/>
                <w:tab w:val="num" w:pos="720"/>
              </w:tabs>
              <w:ind w:left="720" w:hanging="360"/>
              <w:rPr>
                <w:szCs w:val="22"/>
              </w:rPr>
            </w:pPr>
            <w:r w:rsidRPr="002C6CE1">
              <w:t xml:space="preserve">Tiene derecho a recibir cualquier ayuda que necesite para entender y participar en la planificación y otras reuniones. Esta ayuda puede incluir intérpretes, material grabado o </w:t>
            </w:r>
            <w:r w:rsidRPr="00835A37">
              <w:t xml:space="preserve">en </w:t>
            </w:r>
            <w:r w:rsidR="00835A37">
              <w:t>b</w:t>
            </w:r>
            <w:r w:rsidRPr="00835A37">
              <w:rPr>
                <w:szCs w:val="22"/>
              </w:rPr>
              <w:t>raille</w:t>
            </w:r>
            <w:r w:rsidRPr="00835A37">
              <w:t>, u otras ayudas necesarias para facilitar la comunicación.</w:t>
            </w:r>
          </w:p>
          <w:p w14:paraId="32B3E692" w14:textId="77777777" w:rsidR="00A708E0" w:rsidRPr="002C6CE1" w:rsidRDefault="00A708E0" w:rsidP="00CF20BF">
            <w:pPr>
              <w:tabs>
                <w:tab w:val="left" w:pos="360"/>
                <w:tab w:val="num" w:pos="720"/>
              </w:tabs>
              <w:ind w:left="720" w:hanging="360"/>
              <w:rPr>
                <w:sz w:val="8"/>
                <w:szCs w:val="8"/>
              </w:rPr>
            </w:pPr>
          </w:p>
          <w:p w14:paraId="3AA12F54" w14:textId="29516475" w:rsidR="00A708E0" w:rsidRPr="002C6CE1" w:rsidRDefault="00A708E0" w:rsidP="00CF20BF">
            <w:pPr>
              <w:numPr>
                <w:ilvl w:val="0"/>
                <w:numId w:val="3"/>
              </w:numPr>
              <w:tabs>
                <w:tab w:val="clear" w:pos="1440"/>
                <w:tab w:val="left" w:pos="360"/>
                <w:tab w:val="num" w:pos="720"/>
              </w:tabs>
              <w:ind w:left="720" w:hanging="360"/>
              <w:rPr>
                <w:szCs w:val="22"/>
              </w:rPr>
            </w:pPr>
            <w:r w:rsidRPr="002C6CE1">
              <w:t xml:space="preserve">Tiene derecho a diseñar su plan de servicios conforme a ciertas reglas del CLTS Waiver Program (Programa de exención de CLTS). Este plan debe indicar claramente los servicios que ha acordado; debe identificar los resultados que desea alcanzar y las acciones que se requieren para conseguirlos. Tiene derecho </w:t>
            </w:r>
            <w:r w:rsidR="00D921A0">
              <w:t xml:space="preserve">que le expliquen su plan y </w:t>
            </w:r>
            <w:r w:rsidRPr="002C6CE1">
              <w:t xml:space="preserve">a recibir una copia por escrito.  </w:t>
            </w:r>
          </w:p>
          <w:p w14:paraId="54A17D82" w14:textId="77777777" w:rsidR="00A708E0" w:rsidRPr="002C6CE1" w:rsidRDefault="00A708E0" w:rsidP="00CF20BF">
            <w:pPr>
              <w:tabs>
                <w:tab w:val="left" w:pos="360"/>
                <w:tab w:val="num" w:pos="720"/>
              </w:tabs>
              <w:ind w:left="720" w:hanging="360"/>
              <w:rPr>
                <w:sz w:val="8"/>
                <w:szCs w:val="8"/>
              </w:rPr>
            </w:pPr>
          </w:p>
          <w:p w14:paraId="5258D5D1" w14:textId="77777777" w:rsidR="00A708E0" w:rsidRPr="002C6CE1" w:rsidRDefault="00A708E0" w:rsidP="00CF20BF">
            <w:pPr>
              <w:numPr>
                <w:ilvl w:val="0"/>
                <w:numId w:val="3"/>
              </w:numPr>
              <w:tabs>
                <w:tab w:val="clear" w:pos="1440"/>
                <w:tab w:val="left" w:pos="360"/>
                <w:tab w:val="num" w:pos="720"/>
              </w:tabs>
              <w:ind w:left="720" w:hanging="360"/>
              <w:rPr>
                <w:szCs w:val="22"/>
              </w:rPr>
            </w:pPr>
            <w:r w:rsidRPr="002C6CE1">
              <w:t xml:space="preserve">Tiene derecho a elegir los servicios que le permitan satisfacer sus necesidades y alcanzar los resultados que desea, y a elegir el proveedor calificado que le brindará los servicios. Todos los proveedores financiados por exenciones que utilice deben estar calificados. Tiene derecho a que todos los conflictos de intereses relacionados con la </w:t>
            </w:r>
            <w:r w:rsidRPr="002C6CE1">
              <w:lastRenderedPageBreak/>
              <w:t>prestación de servicios sean analizados con usted antes de seleccionar un proveedor de servicios. Tiene derecho a recibir ayuda para encontrar proveedores calificados.</w:t>
            </w:r>
          </w:p>
          <w:p w14:paraId="350F9ADA" w14:textId="77777777" w:rsidR="00A708E0" w:rsidRPr="002C6CE1" w:rsidRDefault="00A708E0" w:rsidP="00DB061E">
            <w:pPr>
              <w:pStyle w:val="forms"/>
              <w:rPr>
                <w:sz w:val="8"/>
                <w:szCs w:val="8"/>
              </w:rPr>
            </w:pPr>
          </w:p>
        </w:tc>
      </w:tr>
      <w:tr w:rsidR="00DB061E" w:rsidRPr="002C6CE1" w14:paraId="047258DF" w14:textId="77777777" w:rsidTr="00CF20BF">
        <w:tc>
          <w:tcPr>
            <w:tcW w:w="10998" w:type="dxa"/>
            <w:gridSpan w:val="2"/>
            <w:tcBorders>
              <w:top w:val="nil"/>
              <w:bottom w:val="nil"/>
            </w:tcBorders>
            <w:shd w:val="clear" w:color="auto" w:fill="auto"/>
          </w:tcPr>
          <w:p w14:paraId="4FE88A35" w14:textId="77777777" w:rsidR="00DB061E" w:rsidRPr="002C6CE1" w:rsidRDefault="00DB061E" w:rsidP="00CF20BF">
            <w:pPr>
              <w:tabs>
                <w:tab w:val="left" w:pos="360"/>
                <w:tab w:val="num" w:pos="720"/>
              </w:tabs>
              <w:ind w:left="720" w:hanging="360"/>
              <w:rPr>
                <w:sz w:val="8"/>
                <w:szCs w:val="8"/>
              </w:rPr>
            </w:pPr>
          </w:p>
          <w:p w14:paraId="270B018D" w14:textId="18ADBF33" w:rsidR="00DB061E" w:rsidRPr="002C6CE1" w:rsidRDefault="00DB061E" w:rsidP="00CF20BF">
            <w:pPr>
              <w:numPr>
                <w:ilvl w:val="0"/>
                <w:numId w:val="3"/>
              </w:numPr>
              <w:tabs>
                <w:tab w:val="clear" w:pos="1440"/>
                <w:tab w:val="left" w:pos="360"/>
                <w:tab w:val="num" w:pos="720"/>
              </w:tabs>
              <w:ind w:left="720" w:hanging="360"/>
              <w:rPr>
                <w:szCs w:val="22"/>
              </w:rPr>
            </w:pPr>
            <w:r w:rsidRPr="002C6CE1">
              <w:t xml:space="preserve">Tiene derecho a </w:t>
            </w:r>
            <w:r w:rsidR="00D921A0">
              <w:t xml:space="preserve">estar en desacuerdo con </w:t>
            </w:r>
            <w:r w:rsidRPr="002C6CE1">
              <w:t xml:space="preserve">su plan de servicio o los cambios realizados a su plan de servicio. Tiene derecho a </w:t>
            </w:r>
            <w:r w:rsidR="00D921A0">
              <w:t xml:space="preserve">estar en desacuerdo con </w:t>
            </w:r>
            <w:r w:rsidRPr="002C6CE1">
              <w:t>alguna reducción en los servicios si cree que sus necesidades no serán cubiertas adecuadamente. Tiene derecho a solicitar a la agencia de exención que cambie los aspectos con los cuales no está de acuerdo. Si no está de acuerdo con alguna decisión que se tome con respecto a los servicios o el proveedor de servicios, o con cambios en su plan de servicios, tiene derecho a presentar una queja formal ante el condado y/o una apelación ante el estado.</w:t>
            </w:r>
          </w:p>
          <w:p w14:paraId="6C474015" w14:textId="77777777" w:rsidR="00DB061E" w:rsidRPr="002C6CE1" w:rsidRDefault="00DB061E" w:rsidP="00CF20BF">
            <w:pPr>
              <w:tabs>
                <w:tab w:val="left" w:pos="555"/>
                <w:tab w:val="num" w:pos="1080"/>
              </w:tabs>
              <w:rPr>
                <w:sz w:val="16"/>
                <w:szCs w:val="16"/>
              </w:rPr>
            </w:pPr>
          </w:p>
        </w:tc>
      </w:tr>
      <w:tr w:rsidR="00DB061E" w:rsidRPr="002C6CE1" w14:paraId="5E5345BE" w14:textId="77777777" w:rsidTr="00CF20BF">
        <w:tc>
          <w:tcPr>
            <w:tcW w:w="10998" w:type="dxa"/>
            <w:gridSpan w:val="2"/>
            <w:tcBorders>
              <w:top w:val="nil"/>
              <w:bottom w:val="nil"/>
            </w:tcBorders>
            <w:shd w:val="clear" w:color="auto" w:fill="auto"/>
          </w:tcPr>
          <w:p w14:paraId="31C82493" w14:textId="51AF8450" w:rsidR="00DB061E" w:rsidRPr="002C6CE1" w:rsidRDefault="00DB061E" w:rsidP="00CF20BF">
            <w:pPr>
              <w:pStyle w:val="Heading1"/>
              <w:keepNext w:val="0"/>
              <w:numPr>
                <w:ilvl w:val="0"/>
                <w:numId w:val="1"/>
              </w:numPr>
              <w:tabs>
                <w:tab w:val="clear" w:pos="720"/>
                <w:tab w:val="left" w:pos="360"/>
                <w:tab w:val="num" w:pos="1080"/>
              </w:tabs>
              <w:rPr>
                <w:sz w:val="22"/>
                <w:szCs w:val="22"/>
              </w:rPr>
            </w:pPr>
            <w:r w:rsidRPr="002C6CE1">
              <w:rPr>
                <w:sz w:val="22"/>
              </w:rPr>
              <w:t>Recepción de servicios del CLTS Waiver Program (Programa de exención de CLTS)</w:t>
            </w:r>
          </w:p>
          <w:p w14:paraId="662FF2C4" w14:textId="77777777" w:rsidR="00DB061E" w:rsidRPr="002C6CE1" w:rsidRDefault="00DB061E" w:rsidP="00CF20BF">
            <w:pPr>
              <w:tabs>
                <w:tab w:val="left" w:pos="555"/>
                <w:tab w:val="num" w:pos="1080"/>
              </w:tabs>
              <w:rPr>
                <w:sz w:val="12"/>
                <w:szCs w:val="12"/>
              </w:rPr>
            </w:pPr>
          </w:p>
          <w:p w14:paraId="58814176" w14:textId="5C0DEEFF" w:rsidR="00DB061E" w:rsidRPr="002C6CE1" w:rsidRDefault="00DB061E" w:rsidP="00CF20BF">
            <w:pPr>
              <w:pStyle w:val="BodyTextIndent"/>
              <w:numPr>
                <w:ilvl w:val="0"/>
                <w:numId w:val="7"/>
              </w:numPr>
              <w:tabs>
                <w:tab w:val="left" w:pos="360"/>
                <w:tab w:val="num" w:pos="720"/>
              </w:tabs>
              <w:ind w:left="720"/>
              <w:rPr>
                <w:sz w:val="22"/>
                <w:szCs w:val="22"/>
              </w:rPr>
            </w:pPr>
            <w:r w:rsidRPr="002C6CE1">
              <w:rPr>
                <w:sz w:val="22"/>
              </w:rPr>
              <w:t>Tiene derecho a recibir servicios si hay fondos disponibles, es elegible para el CLTS Waiver Program (Programa de exención de CLTS) y existen signos razonables de la necesidad de servicios.  Tiene derecho a recibir equipos especiales u otras adaptaciones que le brinden igualdad de oportunidades para acceder a su hogar, comunidad y servicios de exención de Medicaid.</w:t>
            </w:r>
          </w:p>
          <w:p w14:paraId="71B93A29" w14:textId="77777777" w:rsidR="00DB061E" w:rsidRPr="002C6CE1" w:rsidRDefault="00DB061E" w:rsidP="00CF20BF">
            <w:pPr>
              <w:tabs>
                <w:tab w:val="left" w:pos="360"/>
                <w:tab w:val="num" w:pos="720"/>
              </w:tabs>
              <w:ind w:left="720" w:hanging="360"/>
              <w:rPr>
                <w:sz w:val="8"/>
                <w:szCs w:val="8"/>
              </w:rPr>
            </w:pPr>
          </w:p>
          <w:p w14:paraId="69F91F1E" w14:textId="3DDBAE6F" w:rsidR="00DB061E" w:rsidRPr="002C6CE1" w:rsidRDefault="00DB061E" w:rsidP="00CF20BF">
            <w:pPr>
              <w:numPr>
                <w:ilvl w:val="0"/>
                <w:numId w:val="7"/>
              </w:numPr>
              <w:tabs>
                <w:tab w:val="left" w:pos="360"/>
                <w:tab w:val="num" w:pos="720"/>
              </w:tabs>
              <w:ind w:left="720"/>
              <w:rPr>
                <w:szCs w:val="22"/>
              </w:rPr>
            </w:pPr>
            <w:r w:rsidRPr="002C6CE1">
              <w:t>Si no existen fondos disponibles, tiene derecho a ser incluido en la lista de espera para recibir servicios. Si se le indica que tiene que esperar para acceder a los servicios de CLTS Waiver (Exención de CLTS), tiene derecho a saber cómo funciona la lista de espera, recibir actualizaciones sobre cuántas personas están antes que usted y la estimación de la agencia de exención con respecto a cuándo recibirá los servicios.</w:t>
            </w:r>
          </w:p>
          <w:p w14:paraId="152BB537" w14:textId="77777777" w:rsidR="00DB061E" w:rsidRPr="002C6CE1" w:rsidRDefault="00DB061E" w:rsidP="00CF20BF">
            <w:pPr>
              <w:tabs>
                <w:tab w:val="left" w:pos="360"/>
                <w:tab w:val="num" w:pos="720"/>
              </w:tabs>
              <w:ind w:left="720" w:hanging="360"/>
              <w:rPr>
                <w:sz w:val="8"/>
                <w:szCs w:val="8"/>
              </w:rPr>
            </w:pPr>
          </w:p>
          <w:p w14:paraId="48D3C75C" w14:textId="3A9BF6C1" w:rsidR="00A42056" w:rsidRPr="002C6CE1" w:rsidRDefault="00DB061E" w:rsidP="00011CA5">
            <w:pPr>
              <w:numPr>
                <w:ilvl w:val="0"/>
                <w:numId w:val="7"/>
              </w:numPr>
              <w:tabs>
                <w:tab w:val="left" w:pos="360"/>
                <w:tab w:val="num" w:pos="720"/>
              </w:tabs>
              <w:ind w:left="720"/>
              <w:rPr>
                <w:szCs w:val="22"/>
              </w:rPr>
            </w:pPr>
            <w:r w:rsidRPr="002C6CE1">
              <w:t>Tiene derecho a no pagar ni contribuir con algún porcentaje del costo de los servicios de exención, más allá de la cantidad determinada como la obligación de pago de sus padres. (</w:t>
            </w:r>
            <w:hyperlink r:id="rId8" w:history="1">
              <w:r w:rsidRPr="002C6CE1">
                <w:rPr>
                  <w:rStyle w:val="Hyperlink"/>
                </w:rPr>
                <w:t>Sección DHS 1.065 del Código Administrativo de Wisconsin</w:t>
              </w:r>
            </w:hyperlink>
            <w:r w:rsidRPr="002C6CE1">
              <w:t>).</w:t>
            </w:r>
          </w:p>
          <w:p w14:paraId="7F940017" w14:textId="77777777" w:rsidR="00DB061E" w:rsidRPr="002C6CE1" w:rsidRDefault="00DB061E" w:rsidP="00CF20BF">
            <w:pPr>
              <w:tabs>
                <w:tab w:val="left" w:pos="360"/>
                <w:tab w:val="num" w:pos="720"/>
              </w:tabs>
              <w:ind w:left="720" w:hanging="360"/>
              <w:rPr>
                <w:sz w:val="8"/>
                <w:szCs w:val="8"/>
              </w:rPr>
            </w:pPr>
          </w:p>
          <w:p w14:paraId="6BD4733B" w14:textId="77777777" w:rsidR="00DB061E" w:rsidRPr="002C6CE1" w:rsidRDefault="00DB061E" w:rsidP="00CF20BF">
            <w:pPr>
              <w:tabs>
                <w:tab w:val="left" w:pos="360"/>
                <w:tab w:val="num" w:pos="720"/>
              </w:tabs>
              <w:ind w:left="720" w:hanging="360"/>
              <w:rPr>
                <w:sz w:val="8"/>
                <w:szCs w:val="8"/>
              </w:rPr>
            </w:pPr>
          </w:p>
          <w:p w14:paraId="50558875" w14:textId="223E3DCB" w:rsidR="00DB061E" w:rsidRPr="002C6CE1" w:rsidRDefault="00DB061E" w:rsidP="00CF20BF">
            <w:pPr>
              <w:numPr>
                <w:ilvl w:val="0"/>
                <w:numId w:val="7"/>
              </w:numPr>
              <w:tabs>
                <w:tab w:val="left" w:pos="360"/>
                <w:tab w:val="num" w:pos="720"/>
              </w:tabs>
              <w:ind w:left="720"/>
              <w:rPr>
                <w:szCs w:val="22"/>
              </w:rPr>
            </w:pPr>
            <w:r w:rsidRPr="002C6CE1">
              <w:t>Después de recibir los servicios, tiene derecho a recibir ayuda de un coordinador de apoyos y servicios. Tiene derecho a reunirse con esa persona con la frecuencia que considere necesaria. Su coordinador de apoyos y servicios es responsable de garantizar que reciba los servicios de su plan, que estos sean de alta calidad y que funcionen bien en conjunto.</w:t>
            </w:r>
          </w:p>
          <w:p w14:paraId="7C60CB3D" w14:textId="77777777" w:rsidR="00DB061E" w:rsidRPr="002C6CE1" w:rsidRDefault="00DB061E" w:rsidP="00CF20BF">
            <w:pPr>
              <w:tabs>
                <w:tab w:val="left" w:pos="360"/>
                <w:tab w:val="num" w:pos="720"/>
              </w:tabs>
              <w:ind w:left="720" w:hanging="360"/>
              <w:rPr>
                <w:sz w:val="8"/>
                <w:szCs w:val="8"/>
              </w:rPr>
            </w:pPr>
          </w:p>
          <w:p w14:paraId="2861E217" w14:textId="49B8BF63" w:rsidR="00DB061E" w:rsidRPr="002C6CE1" w:rsidRDefault="00DB061E" w:rsidP="00CF20BF">
            <w:pPr>
              <w:numPr>
                <w:ilvl w:val="0"/>
                <w:numId w:val="7"/>
              </w:numPr>
              <w:tabs>
                <w:tab w:val="left" w:pos="360"/>
                <w:tab w:val="num" w:pos="720"/>
              </w:tabs>
              <w:ind w:left="720"/>
              <w:rPr>
                <w:szCs w:val="22"/>
              </w:rPr>
            </w:pPr>
            <w:r w:rsidRPr="002C6CE1">
              <w:t xml:space="preserve">Tiene derecho a recibir un aviso por escrito, </w:t>
            </w:r>
            <w:r w:rsidRPr="002C6CE1">
              <w:rPr>
                <w:b/>
              </w:rPr>
              <w:t xml:space="preserve">al menos 10 días antes de la fecha de entrada en vigor, </w:t>
            </w:r>
            <w:r w:rsidRPr="002C6CE1">
              <w:t>de cualquier acción o decisión para reducir o poner término a sus servicios; Sección 431.231(c)(2) del Título 42 del C.F.R. Si no está de acuerdo con la reducción o el término de cualquier servicio autorizado a través del CLTS Waiver Program (Programa de exención de CLTS), tiene derecho a presentar una queja formal ante el condado o una apelación ante el estado.</w:t>
            </w:r>
          </w:p>
          <w:p w14:paraId="4E2B5ACE" w14:textId="77777777" w:rsidR="00DB061E" w:rsidRPr="002C6CE1" w:rsidRDefault="00DB061E" w:rsidP="00CF20BF">
            <w:pPr>
              <w:tabs>
                <w:tab w:val="left" w:pos="360"/>
                <w:tab w:val="num" w:pos="720"/>
              </w:tabs>
              <w:ind w:left="720" w:hanging="360"/>
              <w:rPr>
                <w:sz w:val="8"/>
                <w:szCs w:val="8"/>
              </w:rPr>
            </w:pPr>
          </w:p>
          <w:p w14:paraId="7047717E" w14:textId="77777777" w:rsidR="00DB061E" w:rsidRPr="002C6CE1" w:rsidRDefault="00DB061E" w:rsidP="00CF20BF">
            <w:pPr>
              <w:numPr>
                <w:ilvl w:val="0"/>
                <w:numId w:val="7"/>
              </w:numPr>
              <w:tabs>
                <w:tab w:val="left" w:pos="360"/>
                <w:tab w:val="num" w:pos="720"/>
              </w:tabs>
              <w:ind w:left="720"/>
              <w:rPr>
                <w:szCs w:val="22"/>
              </w:rPr>
            </w:pPr>
            <w:r w:rsidRPr="002C6CE1">
              <w:t xml:space="preserve">Si presenta una </w:t>
            </w:r>
            <w:r w:rsidRPr="002C6CE1">
              <w:rPr>
                <w:b/>
                <w:szCs w:val="22"/>
              </w:rPr>
              <w:t>apelación ante el estado</w:t>
            </w:r>
            <w:r w:rsidRPr="002C6CE1">
              <w:t xml:space="preserve"> antes de la fecha de término o entrada en vigor indicada en el aviso de finalización que reciba de la agencia de exención, tiene derecho a seguir recibiendo los tipos y cantidades de servicios autorizados hasta que se decida la apelación. </w:t>
            </w:r>
          </w:p>
          <w:p w14:paraId="7FD9D4BF" w14:textId="77777777" w:rsidR="00DB061E" w:rsidRPr="002C6CE1" w:rsidRDefault="00DB061E" w:rsidP="00CF20BF">
            <w:pPr>
              <w:tabs>
                <w:tab w:val="left" w:pos="360"/>
                <w:tab w:val="num" w:pos="720"/>
              </w:tabs>
              <w:ind w:left="720" w:hanging="360"/>
              <w:rPr>
                <w:sz w:val="8"/>
                <w:szCs w:val="8"/>
              </w:rPr>
            </w:pPr>
          </w:p>
          <w:p w14:paraId="62C3ABD4" w14:textId="77777777" w:rsidR="00011CA5" w:rsidRPr="002C6CE1" w:rsidRDefault="00DB061E" w:rsidP="00011CA5">
            <w:pPr>
              <w:numPr>
                <w:ilvl w:val="0"/>
                <w:numId w:val="7"/>
              </w:numPr>
              <w:tabs>
                <w:tab w:val="left" w:pos="360"/>
                <w:tab w:val="num" w:pos="720"/>
              </w:tabs>
              <w:ind w:left="720"/>
              <w:rPr>
                <w:szCs w:val="22"/>
              </w:rPr>
            </w:pPr>
            <w:r w:rsidRPr="002C6CE1">
              <w:t>Si presenta una apelación  y sus servicios afectados continúan durante la espera de la decisión de la audiencia de apelación y la decisión confirma la reducción o el término de los servicios, usted podría ser responsable del costo de esos servicios (</w:t>
            </w:r>
            <w:hyperlink r:id="rId9" w:history="1">
              <w:r w:rsidRPr="002C6CE1">
                <w:rPr>
                  <w:rStyle w:val="Hyperlink"/>
                </w:rPr>
                <w:t>Sección 431.230(b) del Título 42 del CFR</w:t>
              </w:r>
            </w:hyperlink>
            <w:r w:rsidRPr="002C6CE1">
              <w:t xml:space="preserve">). Se puede solicitar la recuperación del costo de cualquier servicio afectado autorizado a través del CLTS Waiver Program (Programa de exención de CLTS) que reciba desde la fecha original de entrada en vigor de un aviso de acción adversa hasta la fecha de la decisión de la audiencia de apelación inclusive.  </w:t>
            </w:r>
          </w:p>
          <w:p w14:paraId="07A3DB61" w14:textId="77777777" w:rsidR="00011CA5" w:rsidRPr="002C6CE1" w:rsidRDefault="00011CA5" w:rsidP="003E7575">
            <w:pPr>
              <w:pStyle w:val="ListParagraph"/>
              <w:rPr>
                <w:sz w:val="8"/>
                <w:szCs w:val="8"/>
              </w:rPr>
            </w:pPr>
          </w:p>
          <w:p w14:paraId="3423D947" w14:textId="4CF1A48B" w:rsidR="00DB061E" w:rsidRPr="002C6CE1" w:rsidRDefault="00DB061E" w:rsidP="003E7575">
            <w:pPr>
              <w:numPr>
                <w:ilvl w:val="0"/>
                <w:numId w:val="7"/>
              </w:numPr>
              <w:tabs>
                <w:tab w:val="left" w:pos="360"/>
                <w:tab w:val="num" w:pos="720"/>
              </w:tabs>
              <w:ind w:left="720"/>
            </w:pPr>
            <w:r w:rsidRPr="002C6CE1">
              <w:t>Tiene derecho a mudarse a cualquier lugar  del estado de Wisconsin sin que se interrumpa la autorización de servicios a través del CLTS Waiver Program (Programa de exención de CLTS).</w:t>
            </w:r>
          </w:p>
        </w:tc>
      </w:tr>
      <w:tr w:rsidR="00D832BA" w:rsidRPr="002C6CE1" w14:paraId="7350C1B2" w14:textId="77777777" w:rsidTr="00CF20BF">
        <w:tc>
          <w:tcPr>
            <w:tcW w:w="10998" w:type="dxa"/>
            <w:gridSpan w:val="2"/>
            <w:tcBorders>
              <w:top w:val="nil"/>
              <w:bottom w:val="nil"/>
            </w:tcBorders>
            <w:shd w:val="clear" w:color="auto" w:fill="auto"/>
          </w:tcPr>
          <w:p w14:paraId="3BA778C5" w14:textId="78886DDC" w:rsidR="00B66894" w:rsidRPr="002C6CE1" w:rsidRDefault="00B66894" w:rsidP="008B06AC">
            <w:pPr>
              <w:tabs>
                <w:tab w:val="left" w:pos="360"/>
              </w:tabs>
              <w:ind w:left="1440"/>
              <w:rPr>
                <w:szCs w:val="22"/>
              </w:rPr>
            </w:pPr>
          </w:p>
          <w:p w14:paraId="22D0E2E1" w14:textId="77777777" w:rsidR="00D832BA" w:rsidRPr="002C6CE1" w:rsidRDefault="00D832BA" w:rsidP="00CF20BF">
            <w:pPr>
              <w:pStyle w:val="Heading1"/>
              <w:tabs>
                <w:tab w:val="left" w:pos="555"/>
                <w:tab w:val="num" w:pos="1080"/>
              </w:tabs>
              <w:rPr>
                <w:b w:val="0"/>
                <w:sz w:val="16"/>
                <w:szCs w:val="16"/>
              </w:rPr>
            </w:pPr>
          </w:p>
          <w:p w14:paraId="429C85E3" w14:textId="77777777" w:rsidR="00D832BA" w:rsidRPr="002C6CE1" w:rsidRDefault="00DE733C" w:rsidP="00CF20BF">
            <w:pPr>
              <w:pStyle w:val="Heading1"/>
              <w:tabs>
                <w:tab w:val="left" w:pos="360"/>
                <w:tab w:val="num" w:pos="1080"/>
              </w:tabs>
              <w:rPr>
                <w:sz w:val="22"/>
                <w:szCs w:val="22"/>
              </w:rPr>
            </w:pPr>
            <w:r w:rsidRPr="002C6CE1">
              <w:rPr>
                <w:sz w:val="22"/>
              </w:rPr>
              <w:t>D.</w:t>
            </w:r>
            <w:r w:rsidR="00D832BA" w:rsidRPr="002C6CE1">
              <w:rPr>
                <w:sz w:val="22"/>
                <w:szCs w:val="22"/>
              </w:rPr>
              <w:tab/>
            </w:r>
            <w:r w:rsidRPr="002C6CE1">
              <w:rPr>
                <w:sz w:val="22"/>
              </w:rPr>
              <w:t>Derecho a apelar ante el estado</w:t>
            </w:r>
          </w:p>
          <w:p w14:paraId="09C93F7E" w14:textId="77777777" w:rsidR="00D832BA" w:rsidRPr="002C6CE1" w:rsidRDefault="00D832BA" w:rsidP="00CF20BF">
            <w:pPr>
              <w:tabs>
                <w:tab w:val="left" w:pos="555"/>
                <w:tab w:val="num" w:pos="1080"/>
              </w:tabs>
              <w:rPr>
                <w:sz w:val="12"/>
                <w:szCs w:val="12"/>
              </w:rPr>
            </w:pPr>
          </w:p>
          <w:p w14:paraId="08957914" w14:textId="24EB8271" w:rsidR="00FA30D0" w:rsidRPr="002C6CE1" w:rsidRDefault="00FA30D0" w:rsidP="003E7575">
            <w:pPr>
              <w:pStyle w:val="BodyTextIndent"/>
              <w:numPr>
                <w:ilvl w:val="0"/>
                <w:numId w:val="4"/>
              </w:numPr>
              <w:tabs>
                <w:tab w:val="left" w:pos="360"/>
              </w:tabs>
              <w:rPr>
                <w:sz w:val="22"/>
                <w:szCs w:val="22"/>
              </w:rPr>
            </w:pPr>
            <w:r w:rsidRPr="002C6CE1">
              <w:rPr>
                <w:sz w:val="22"/>
              </w:rPr>
              <w:t>Usted (y su padre/tutor, si corresponde) tiene(n) derecho a que se le(s) informe (por medio de un aviso formal) qué acciones tomadas por las agencias de exención pueden ser apeladas y cómo presentar una apelación ante el estado. Esto incluye que se le(s) informe a quién contactar, además de los pasos y plazos para presentar la queja o apelación.</w:t>
            </w:r>
          </w:p>
          <w:p w14:paraId="69529F7F" w14:textId="77777777" w:rsidR="00FA30D0" w:rsidRPr="002C6CE1" w:rsidRDefault="00FA30D0" w:rsidP="00CF20BF">
            <w:pPr>
              <w:pStyle w:val="BodyTextIndent"/>
              <w:tabs>
                <w:tab w:val="left" w:pos="360"/>
              </w:tabs>
              <w:ind w:left="360" w:firstLine="0"/>
              <w:rPr>
                <w:sz w:val="8"/>
                <w:szCs w:val="8"/>
              </w:rPr>
            </w:pPr>
          </w:p>
          <w:p w14:paraId="21BDC3EC" w14:textId="79F7E3B7" w:rsidR="00D832BA" w:rsidRPr="002C6CE1" w:rsidRDefault="00D832BA" w:rsidP="003E7575">
            <w:pPr>
              <w:numPr>
                <w:ilvl w:val="0"/>
                <w:numId w:val="4"/>
              </w:numPr>
              <w:tabs>
                <w:tab w:val="left" w:pos="360"/>
              </w:tabs>
              <w:rPr>
                <w:szCs w:val="22"/>
              </w:rPr>
            </w:pPr>
            <w:r w:rsidRPr="002C6CE1">
              <w:t>Puede obtener ayuda con una queja formal ante la agencia de exención o una apelación ante el estado de parte de su coordinador de apoyos y servicios o de otras organizaciones responsables de ayudarle con dichos asuntos.</w:t>
            </w:r>
          </w:p>
          <w:p w14:paraId="08120716" w14:textId="77777777" w:rsidR="00497480" w:rsidRPr="002C6CE1" w:rsidRDefault="00497480" w:rsidP="00CF20BF">
            <w:pPr>
              <w:tabs>
                <w:tab w:val="left" w:pos="360"/>
              </w:tabs>
              <w:rPr>
                <w:sz w:val="8"/>
                <w:szCs w:val="8"/>
              </w:rPr>
            </w:pPr>
          </w:p>
          <w:p w14:paraId="36A67C02" w14:textId="77777777" w:rsidR="00011CA5" w:rsidRPr="002C6CE1" w:rsidRDefault="00FA30D0" w:rsidP="003E7575">
            <w:pPr>
              <w:numPr>
                <w:ilvl w:val="0"/>
                <w:numId w:val="4"/>
              </w:numPr>
              <w:tabs>
                <w:tab w:val="left" w:pos="360"/>
              </w:tabs>
              <w:rPr>
                <w:szCs w:val="22"/>
              </w:rPr>
            </w:pPr>
            <w:r w:rsidRPr="002C6CE1">
              <w:t>Tiene derecho a ser informado por escrito de las razones por las que se está tomando la acción.</w:t>
            </w:r>
          </w:p>
          <w:p w14:paraId="2BF0283A" w14:textId="77777777" w:rsidR="00046235" w:rsidRPr="002C6CE1" w:rsidRDefault="00046235" w:rsidP="00B50B72">
            <w:pPr>
              <w:tabs>
                <w:tab w:val="left" w:pos="360"/>
              </w:tabs>
              <w:rPr>
                <w:sz w:val="8"/>
              </w:rPr>
            </w:pPr>
          </w:p>
          <w:p w14:paraId="37440832" w14:textId="35E7EC4D" w:rsidR="00046235" w:rsidRPr="002C6CE1" w:rsidRDefault="00CD2EDA">
            <w:pPr>
              <w:numPr>
                <w:ilvl w:val="0"/>
                <w:numId w:val="4"/>
              </w:numPr>
              <w:tabs>
                <w:tab w:val="left" w:pos="360"/>
              </w:tabs>
              <w:rPr>
                <w:szCs w:val="22"/>
              </w:rPr>
            </w:pPr>
            <w:r w:rsidRPr="002C6CE1">
              <w:t>Dentro de 45 días:  tiene derecho a apelar las determinaciones de elegibilidad financiera.</w:t>
            </w:r>
          </w:p>
          <w:p w14:paraId="47FB38CF" w14:textId="77777777" w:rsidR="00510EB5" w:rsidRPr="002C6CE1" w:rsidRDefault="00510EB5" w:rsidP="00B50B72">
            <w:pPr>
              <w:tabs>
                <w:tab w:val="left" w:pos="360"/>
              </w:tabs>
              <w:rPr>
                <w:sz w:val="8"/>
                <w:szCs w:val="8"/>
              </w:rPr>
            </w:pPr>
          </w:p>
          <w:p w14:paraId="0BBF4474" w14:textId="77777777" w:rsidR="00CD2EDA" w:rsidRPr="002C6CE1" w:rsidRDefault="00510EB5" w:rsidP="00B66894">
            <w:pPr>
              <w:numPr>
                <w:ilvl w:val="0"/>
                <w:numId w:val="4"/>
              </w:numPr>
              <w:tabs>
                <w:tab w:val="left" w:pos="360"/>
              </w:tabs>
              <w:rPr>
                <w:szCs w:val="22"/>
              </w:rPr>
            </w:pPr>
            <w:r w:rsidRPr="002C6CE1">
              <w:t>Dentro de 45 días:  tiene derecho a apelar las determinaciones de elegibilidad funcional inicial.</w:t>
            </w:r>
          </w:p>
          <w:p w14:paraId="43B1D528" w14:textId="77777777" w:rsidR="00046235" w:rsidRPr="002C6CE1" w:rsidRDefault="00046235" w:rsidP="00B50B72">
            <w:pPr>
              <w:tabs>
                <w:tab w:val="left" w:pos="360"/>
              </w:tabs>
              <w:rPr>
                <w:sz w:val="8"/>
                <w:szCs w:val="8"/>
              </w:rPr>
            </w:pPr>
          </w:p>
          <w:p w14:paraId="184B3028" w14:textId="77777777" w:rsidR="00CD2EDA" w:rsidRPr="002C6CE1" w:rsidRDefault="00CD2EDA" w:rsidP="00B66894">
            <w:pPr>
              <w:numPr>
                <w:ilvl w:val="0"/>
                <w:numId w:val="4"/>
              </w:numPr>
              <w:tabs>
                <w:tab w:val="left" w:pos="360"/>
              </w:tabs>
              <w:rPr>
                <w:szCs w:val="22"/>
              </w:rPr>
            </w:pPr>
            <w:r w:rsidRPr="002C6CE1">
              <w:t>Dentro de 90 días:  Tiene derecho a apelar cualquier decisión sobre cualquier apoyo o servicio que un participante y/o sus padres o tutores legales hayan solicitado que se autorice a través del CLTS Waiver Program (Programa de exención de CLTS).</w:t>
            </w:r>
          </w:p>
          <w:p w14:paraId="17833318" w14:textId="77777777" w:rsidR="00472CFD" w:rsidRPr="002C6CE1" w:rsidRDefault="00472CFD" w:rsidP="00B50B72">
            <w:pPr>
              <w:tabs>
                <w:tab w:val="left" w:pos="360"/>
              </w:tabs>
              <w:rPr>
                <w:sz w:val="8"/>
                <w:szCs w:val="8"/>
              </w:rPr>
            </w:pPr>
          </w:p>
          <w:p w14:paraId="1F4BDAEA" w14:textId="5BB0AD59" w:rsidR="00CD2EDA" w:rsidRPr="002C6CE1" w:rsidRDefault="0007179E" w:rsidP="00B66894">
            <w:pPr>
              <w:numPr>
                <w:ilvl w:val="0"/>
                <w:numId w:val="4"/>
              </w:numPr>
              <w:tabs>
                <w:tab w:val="left" w:pos="360"/>
              </w:tabs>
              <w:rPr>
                <w:szCs w:val="22"/>
              </w:rPr>
            </w:pPr>
            <w:r w:rsidRPr="002C6CE1">
              <w:t xml:space="preserve">Dentro de 90 días: Tiene derecho a apelar cualquier decisión sobre determinaciones de elegibilidad funcional para una recertificación. Estas decisiones ocurren durante la recertificación anual de un menor o joven para permanecer inscrito. </w:t>
            </w:r>
          </w:p>
          <w:p w14:paraId="3C1A0984" w14:textId="77777777" w:rsidR="00497480" w:rsidRPr="002C6CE1" w:rsidRDefault="00497480" w:rsidP="00CF20BF">
            <w:pPr>
              <w:tabs>
                <w:tab w:val="left" w:pos="360"/>
              </w:tabs>
              <w:rPr>
                <w:sz w:val="12"/>
                <w:szCs w:val="12"/>
              </w:rPr>
            </w:pPr>
          </w:p>
          <w:p w14:paraId="0E89B240" w14:textId="77777777" w:rsidR="00166E3D" w:rsidRPr="002C6CE1" w:rsidRDefault="00166E3D" w:rsidP="00166E3D">
            <w:pPr>
              <w:pStyle w:val="Heading3"/>
              <w:numPr>
                <w:ilvl w:val="0"/>
                <w:numId w:val="0"/>
              </w:numPr>
              <w:tabs>
                <w:tab w:val="left" w:pos="360"/>
              </w:tabs>
            </w:pPr>
          </w:p>
          <w:p w14:paraId="6299B83F" w14:textId="77777777" w:rsidR="00166E3D" w:rsidRPr="002C6CE1" w:rsidRDefault="00166E3D" w:rsidP="00166E3D">
            <w:pPr>
              <w:pStyle w:val="Heading3"/>
              <w:numPr>
                <w:ilvl w:val="0"/>
                <w:numId w:val="0"/>
              </w:numPr>
              <w:tabs>
                <w:tab w:val="left" w:pos="360"/>
              </w:tabs>
            </w:pPr>
          </w:p>
          <w:p w14:paraId="4DEBE3DF" w14:textId="6D1891AE" w:rsidR="00497480" w:rsidRPr="002C6CE1" w:rsidRDefault="00DE733C" w:rsidP="00166E3D">
            <w:pPr>
              <w:pStyle w:val="Heading3"/>
              <w:numPr>
                <w:ilvl w:val="0"/>
                <w:numId w:val="0"/>
              </w:numPr>
              <w:tabs>
                <w:tab w:val="left" w:pos="360"/>
              </w:tabs>
            </w:pPr>
            <w:r w:rsidRPr="002C6CE1">
              <w:t>E.</w:t>
            </w:r>
            <w:r w:rsidR="00316297" w:rsidRPr="002C6CE1">
              <w:tab/>
            </w:r>
            <w:r w:rsidRPr="002C6CE1">
              <w:t>Acciones de las agencias de exención que están sujetas a apelación</w:t>
            </w:r>
          </w:p>
          <w:p w14:paraId="6D91B076" w14:textId="77777777" w:rsidR="00497480" w:rsidRPr="002C6CE1" w:rsidRDefault="00497480" w:rsidP="00CF20BF">
            <w:pPr>
              <w:tabs>
                <w:tab w:val="left" w:pos="360"/>
              </w:tabs>
              <w:rPr>
                <w:sz w:val="12"/>
                <w:szCs w:val="12"/>
              </w:rPr>
            </w:pPr>
          </w:p>
          <w:p w14:paraId="092B7F87" w14:textId="77777777" w:rsidR="00497480" w:rsidRPr="002C6CE1" w:rsidRDefault="00497480" w:rsidP="00CF20BF">
            <w:pPr>
              <w:tabs>
                <w:tab w:val="left" w:pos="360"/>
              </w:tabs>
              <w:ind w:left="360" w:hanging="360"/>
              <w:rPr>
                <w:szCs w:val="22"/>
              </w:rPr>
            </w:pPr>
            <w:r w:rsidRPr="002C6CE1">
              <w:rPr>
                <w:szCs w:val="22"/>
              </w:rPr>
              <w:tab/>
            </w:r>
            <w:r w:rsidRPr="002C6CE1">
              <w:t>Tiene derecho a apelar la acción/decisión de la agencia de exención antes de que se implemente dicha acción/decisión. Se le debe notificar por escrito cualquier decisión que esté sujeta a apelación y se le debe dar un mínimo de 10 días para solicitar una apelación.</w:t>
            </w:r>
          </w:p>
          <w:p w14:paraId="64C81DCE" w14:textId="77777777" w:rsidR="00497480" w:rsidRPr="002C6CE1" w:rsidRDefault="00497480" w:rsidP="00CF20BF">
            <w:pPr>
              <w:tabs>
                <w:tab w:val="left" w:pos="360"/>
              </w:tabs>
              <w:ind w:left="360" w:hanging="360"/>
              <w:rPr>
                <w:sz w:val="8"/>
                <w:szCs w:val="8"/>
              </w:rPr>
            </w:pPr>
          </w:p>
          <w:p w14:paraId="6C2C57C7" w14:textId="77777777" w:rsidR="00497480" w:rsidRPr="002C6CE1" w:rsidRDefault="00497480" w:rsidP="00CF20BF">
            <w:pPr>
              <w:tabs>
                <w:tab w:val="left" w:pos="360"/>
              </w:tabs>
              <w:ind w:left="360" w:hanging="360"/>
              <w:rPr>
                <w:szCs w:val="22"/>
              </w:rPr>
            </w:pPr>
            <w:r w:rsidRPr="002C6CE1">
              <w:rPr>
                <w:szCs w:val="22"/>
              </w:rPr>
              <w:tab/>
            </w:r>
            <w:r w:rsidRPr="002C6CE1">
              <w:t>Las siguientes acciones o decisiones tomadas por la agencia de exención pueden ser apeladas por los participantes de la exención o sus padres (de los niños) o tutores a través de una audiencia imparcial de la Division of Hearings and Appeals (División de Audiencias y Apelaciones) del Department of Administration (Departamento de Administración).</w:t>
            </w:r>
          </w:p>
          <w:p w14:paraId="7C30555D" w14:textId="77777777" w:rsidR="00A708E0" w:rsidRPr="002C6CE1" w:rsidRDefault="00A708E0" w:rsidP="00CF20BF">
            <w:pPr>
              <w:tabs>
                <w:tab w:val="left" w:pos="360"/>
              </w:tabs>
              <w:ind w:left="360" w:hanging="360"/>
              <w:rPr>
                <w:sz w:val="8"/>
                <w:szCs w:val="8"/>
              </w:rPr>
            </w:pPr>
          </w:p>
          <w:p w14:paraId="6547DC86" w14:textId="77777777" w:rsidR="00AD39FC" w:rsidRPr="002C6CE1" w:rsidRDefault="00AD39FC" w:rsidP="00CF20BF">
            <w:pPr>
              <w:tabs>
                <w:tab w:val="left" w:pos="360"/>
              </w:tabs>
              <w:ind w:left="360"/>
              <w:rPr>
                <w:sz w:val="8"/>
                <w:szCs w:val="8"/>
              </w:rPr>
            </w:pPr>
          </w:p>
          <w:p w14:paraId="10E3F7BE" w14:textId="77777777" w:rsidR="00AD39FC" w:rsidRPr="002C6CE1" w:rsidRDefault="00AD39FC" w:rsidP="003E7575">
            <w:pPr>
              <w:numPr>
                <w:ilvl w:val="0"/>
                <w:numId w:val="13"/>
              </w:numPr>
              <w:tabs>
                <w:tab w:val="left" w:pos="360"/>
              </w:tabs>
              <w:rPr>
                <w:szCs w:val="22"/>
              </w:rPr>
            </w:pPr>
            <w:r w:rsidRPr="002C6CE1">
              <w:rPr>
                <w:b/>
              </w:rPr>
              <w:t>Denegación de elegibilidad</w:t>
            </w:r>
            <w:r w:rsidRPr="002C6CE1">
              <w:t>—Puede apelar cualquier denegación de elegibilidad para el programa.</w:t>
            </w:r>
          </w:p>
          <w:p w14:paraId="14A3FF8E" w14:textId="77777777" w:rsidR="00AD39FC" w:rsidRPr="002C6CE1" w:rsidRDefault="00AD39FC" w:rsidP="00CF20BF">
            <w:pPr>
              <w:tabs>
                <w:tab w:val="left" w:pos="360"/>
              </w:tabs>
              <w:rPr>
                <w:sz w:val="8"/>
                <w:szCs w:val="8"/>
              </w:rPr>
            </w:pPr>
          </w:p>
          <w:p w14:paraId="728FA1A8" w14:textId="2579F969" w:rsidR="00AD39FC" w:rsidRPr="002C6CE1" w:rsidRDefault="00AD39FC" w:rsidP="003E7575">
            <w:pPr>
              <w:numPr>
                <w:ilvl w:val="0"/>
                <w:numId w:val="13"/>
              </w:numPr>
              <w:tabs>
                <w:tab w:val="left" w:pos="360"/>
              </w:tabs>
              <w:rPr>
                <w:szCs w:val="22"/>
              </w:rPr>
            </w:pPr>
            <w:r w:rsidRPr="002C6CE1">
              <w:rPr>
                <w:b/>
              </w:rPr>
              <w:t>Término de la elegibilidad</w:t>
            </w:r>
            <w:r w:rsidRPr="002C6CE1">
              <w:t>—Puede apelar cualquier propuesta de término de la elegibilidad para el programa.</w:t>
            </w:r>
          </w:p>
          <w:p w14:paraId="0B399748" w14:textId="77777777" w:rsidR="00AD39FC" w:rsidRPr="002C6CE1" w:rsidRDefault="00AD39FC" w:rsidP="00CF20BF">
            <w:pPr>
              <w:tabs>
                <w:tab w:val="left" w:pos="360"/>
              </w:tabs>
              <w:rPr>
                <w:sz w:val="8"/>
                <w:szCs w:val="8"/>
              </w:rPr>
            </w:pPr>
          </w:p>
          <w:p w14:paraId="3B6D5257" w14:textId="5361FEFF" w:rsidR="00AD39FC" w:rsidRPr="002C6CE1" w:rsidRDefault="00AD39FC" w:rsidP="003E7575">
            <w:pPr>
              <w:numPr>
                <w:ilvl w:val="0"/>
                <w:numId w:val="13"/>
              </w:numPr>
              <w:tabs>
                <w:tab w:val="left" w:pos="360"/>
              </w:tabs>
              <w:rPr>
                <w:szCs w:val="22"/>
              </w:rPr>
            </w:pPr>
            <w:r w:rsidRPr="002C6CE1">
              <w:rPr>
                <w:b/>
              </w:rPr>
              <w:t>Término de servicios cubiertos por la exención</w:t>
            </w:r>
            <w:r w:rsidRPr="002C6CE1">
              <w:rPr>
                <w:rStyle w:val="FootnoteReference"/>
                <w:b/>
                <w:szCs w:val="22"/>
              </w:rPr>
              <w:footnoteReference w:id="2"/>
            </w:r>
            <w:r w:rsidRPr="002C6CE1">
              <w:t>—Puede apelar cualquier propuesta de término de cualquier servicio cubierto por la exención, independientemente del motivo entregado para dicho término.</w:t>
            </w:r>
          </w:p>
          <w:p w14:paraId="6BFC9B62" w14:textId="77777777" w:rsidR="00AD39FC" w:rsidRPr="002C6CE1" w:rsidRDefault="00AD39FC" w:rsidP="00CF20BF">
            <w:pPr>
              <w:tabs>
                <w:tab w:val="left" w:pos="360"/>
              </w:tabs>
              <w:rPr>
                <w:sz w:val="8"/>
                <w:szCs w:val="8"/>
              </w:rPr>
            </w:pPr>
          </w:p>
          <w:p w14:paraId="54E1FF41" w14:textId="71804BE8" w:rsidR="00AD39FC" w:rsidRPr="002C6CE1" w:rsidRDefault="00AD39FC" w:rsidP="003E7575">
            <w:pPr>
              <w:numPr>
                <w:ilvl w:val="0"/>
                <w:numId w:val="13"/>
              </w:numPr>
              <w:tabs>
                <w:tab w:val="left" w:pos="360"/>
              </w:tabs>
              <w:rPr>
                <w:szCs w:val="22"/>
              </w:rPr>
            </w:pPr>
            <w:r w:rsidRPr="002C6CE1">
              <w:rPr>
                <w:b/>
              </w:rPr>
              <w:t>Reducción de los servicios cubiertos por la exención</w:t>
            </w:r>
            <w:r w:rsidRPr="002C6CE1">
              <w:t>—Puede apelar cualquier reducción propuesta a un servicio cubierto por la exención, independientemente del motivo entregado para la reducción.</w:t>
            </w:r>
          </w:p>
          <w:p w14:paraId="7D0A35CE" w14:textId="77777777" w:rsidR="00AD39FC" w:rsidRPr="002C6CE1" w:rsidRDefault="00AD39FC" w:rsidP="00CF20BF">
            <w:pPr>
              <w:tabs>
                <w:tab w:val="left" w:pos="360"/>
              </w:tabs>
              <w:rPr>
                <w:sz w:val="8"/>
                <w:szCs w:val="8"/>
              </w:rPr>
            </w:pPr>
          </w:p>
          <w:p w14:paraId="0BBF0DD6" w14:textId="61ED0A3A" w:rsidR="00AD39FC" w:rsidRPr="002C6CE1" w:rsidRDefault="00AD39FC" w:rsidP="003E7575">
            <w:pPr>
              <w:numPr>
                <w:ilvl w:val="0"/>
                <w:numId w:val="13"/>
              </w:numPr>
              <w:tabs>
                <w:tab w:val="left" w:pos="360"/>
              </w:tabs>
              <w:rPr>
                <w:szCs w:val="22"/>
              </w:rPr>
            </w:pPr>
            <w:r w:rsidRPr="002C6CE1">
              <w:rPr>
                <w:b/>
              </w:rPr>
              <w:t>Elección entre servicios institucionales y comunitarios</w:t>
            </w:r>
            <w:r w:rsidRPr="002C6CE1">
              <w:t>—Puede apelar cualquier incumplimiento de la agencia de exención de brindarle la opción de elegir entre servicios institucionales y comunitarios. Este derecho a apelación no es aplicable cuando un tribunal ha ordenado la colocación y los servicios comunitarios por ser la alternativa considerada menos restrictiva y/o más integral.</w:t>
            </w:r>
          </w:p>
          <w:p w14:paraId="3B8270BB" w14:textId="77777777" w:rsidR="00AD39FC" w:rsidRPr="002C6CE1" w:rsidRDefault="00AD39FC" w:rsidP="00CF20BF">
            <w:pPr>
              <w:tabs>
                <w:tab w:val="left" w:pos="360"/>
              </w:tabs>
              <w:rPr>
                <w:sz w:val="8"/>
                <w:szCs w:val="8"/>
              </w:rPr>
            </w:pPr>
          </w:p>
          <w:p w14:paraId="162B934C" w14:textId="5DAE3227" w:rsidR="00AD39FC" w:rsidRPr="002C6CE1" w:rsidRDefault="00AD39FC" w:rsidP="003E7575">
            <w:pPr>
              <w:numPr>
                <w:ilvl w:val="0"/>
                <w:numId w:val="13"/>
              </w:numPr>
              <w:tabs>
                <w:tab w:val="left" w:pos="360"/>
              </w:tabs>
              <w:rPr>
                <w:szCs w:val="22"/>
              </w:rPr>
            </w:pPr>
            <w:r w:rsidRPr="002C6CE1">
              <w:rPr>
                <w:b/>
              </w:rPr>
              <w:t>Elección del tipo de servicio</w:t>
            </w:r>
            <w:r w:rsidRPr="002C6CE1">
              <w:t>—Puede apelar cualquier incumplimiento de la agencia de exención de darle la opción de elegir entre diferentes tipos de servicios comunitarios cubiertos por la exención, cuando el costo de los servicios es equivalente. Esto es aplicable solo cuando cada uno de los diferentes servicios cubiertos son apropiados para sus necesidades y pueden ayudarle a alcanzar los resultados deseados.</w:t>
            </w:r>
          </w:p>
          <w:p w14:paraId="20BE8A87" w14:textId="77777777" w:rsidR="00AD39FC" w:rsidRPr="002C6CE1" w:rsidRDefault="00AD39FC" w:rsidP="00CF20BF">
            <w:pPr>
              <w:tabs>
                <w:tab w:val="left" w:pos="360"/>
              </w:tabs>
              <w:rPr>
                <w:sz w:val="8"/>
                <w:szCs w:val="8"/>
              </w:rPr>
            </w:pPr>
          </w:p>
          <w:p w14:paraId="48D50E32" w14:textId="77777777" w:rsidR="00AD39FC" w:rsidRPr="002C6CE1" w:rsidRDefault="00AD39FC" w:rsidP="003E7575">
            <w:pPr>
              <w:numPr>
                <w:ilvl w:val="0"/>
                <w:numId w:val="13"/>
              </w:numPr>
              <w:tabs>
                <w:tab w:val="left" w:pos="360"/>
              </w:tabs>
              <w:rPr>
                <w:szCs w:val="22"/>
              </w:rPr>
            </w:pPr>
            <w:r w:rsidRPr="002C6CE1">
              <w:rPr>
                <w:b/>
              </w:rPr>
              <w:t>Denegación de elección de un proveedor de servicios calificado</w:t>
            </w:r>
            <w:r w:rsidRPr="002C6CE1">
              <w:rPr>
                <w:szCs w:val="22"/>
              </w:rPr>
              <w:t>—Puede apelar cualquier incumplimiento de brindarle a usted (el participante) la opción de elegir entre proveedores calificados cuando el costo de los servicios cubiertos que se requieren para abordar sus necesidades evaluadas y los resultados deseados sean equivalentes.</w:t>
            </w:r>
          </w:p>
          <w:p w14:paraId="308E7400" w14:textId="77777777" w:rsidR="00AD39FC" w:rsidRPr="002C6CE1" w:rsidRDefault="00AD39FC" w:rsidP="00CF20BF">
            <w:pPr>
              <w:tabs>
                <w:tab w:val="left" w:pos="360"/>
              </w:tabs>
              <w:rPr>
                <w:sz w:val="8"/>
                <w:szCs w:val="8"/>
              </w:rPr>
            </w:pPr>
          </w:p>
          <w:p w14:paraId="6404E3B0" w14:textId="623CE04D" w:rsidR="00AD39FC" w:rsidRPr="00D921A0" w:rsidRDefault="00AD39FC" w:rsidP="003E7575">
            <w:pPr>
              <w:numPr>
                <w:ilvl w:val="0"/>
                <w:numId w:val="13"/>
              </w:numPr>
              <w:tabs>
                <w:tab w:val="left" w:pos="360"/>
              </w:tabs>
              <w:rPr>
                <w:szCs w:val="22"/>
              </w:rPr>
            </w:pPr>
            <w:r w:rsidRPr="002C6CE1">
              <w:rPr>
                <w:b/>
              </w:rPr>
              <w:t>Denegación de autorización de un artículo o servicio</w:t>
            </w:r>
            <w:r w:rsidRPr="002C6CE1">
              <w:t>—Si el servicio o artículo está cubierto por el CLTS Waiver Program (Programa de exención de CLTS), puede apelar cualquier decisión de la agencia de exención de denegar o limitar por cualquier motivo la cobertura de un servicio o artículo solicitado.</w:t>
            </w:r>
          </w:p>
          <w:p w14:paraId="4A18B85B" w14:textId="77777777" w:rsidR="00D921A0" w:rsidRDefault="00D921A0" w:rsidP="00E358A8">
            <w:pPr>
              <w:pStyle w:val="ListParagraph"/>
              <w:rPr>
                <w:szCs w:val="22"/>
              </w:rPr>
            </w:pPr>
          </w:p>
          <w:p w14:paraId="18E99C8C" w14:textId="55275F5B" w:rsidR="00D921A0" w:rsidRDefault="00D921A0" w:rsidP="00D921A0">
            <w:pPr>
              <w:tabs>
                <w:tab w:val="left" w:pos="360"/>
              </w:tabs>
              <w:rPr>
                <w:szCs w:val="22"/>
              </w:rPr>
            </w:pPr>
          </w:p>
          <w:p w14:paraId="6281FE3F" w14:textId="77777777" w:rsidR="00D921A0" w:rsidRPr="002C6CE1" w:rsidRDefault="00D921A0" w:rsidP="00E358A8">
            <w:pPr>
              <w:tabs>
                <w:tab w:val="left" w:pos="360"/>
              </w:tabs>
              <w:rPr>
                <w:szCs w:val="22"/>
              </w:rPr>
            </w:pPr>
          </w:p>
          <w:p w14:paraId="2A9FBFEA" w14:textId="77777777" w:rsidR="00316297" w:rsidRPr="002C6CE1" w:rsidRDefault="00316297" w:rsidP="00CF20BF">
            <w:pPr>
              <w:tabs>
                <w:tab w:val="left" w:pos="360"/>
              </w:tabs>
              <w:rPr>
                <w:sz w:val="12"/>
                <w:szCs w:val="12"/>
              </w:rPr>
            </w:pPr>
          </w:p>
          <w:p w14:paraId="4D9239D7" w14:textId="1493126C" w:rsidR="00D832BA" w:rsidRPr="002C6CE1" w:rsidRDefault="00DE733C" w:rsidP="008B06AC">
            <w:pPr>
              <w:keepNext/>
              <w:tabs>
                <w:tab w:val="left" w:pos="360"/>
              </w:tabs>
              <w:rPr>
                <w:b/>
                <w:szCs w:val="22"/>
              </w:rPr>
            </w:pPr>
            <w:r w:rsidRPr="002C6CE1">
              <w:rPr>
                <w:b/>
              </w:rPr>
              <w:lastRenderedPageBreak/>
              <w:t>F.</w:t>
            </w:r>
            <w:r w:rsidR="00AD39FC" w:rsidRPr="002C6CE1">
              <w:rPr>
                <w:b/>
                <w:szCs w:val="22"/>
              </w:rPr>
              <w:tab/>
            </w:r>
            <w:r w:rsidRPr="002C6CE1">
              <w:rPr>
                <w:b/>
              </w:rPr>
              <w:t>Dónde puede obtener ayuda</w:t>
            </w:r>
          </w:p>
          <w:p w14:paraId="7DC1D208" w14:textId="77777777" w:rsidR="00D832BA" w:rsidRPr="002C6CE1" w:rsidRDefault="00D832BA" w:rsidP="003E7575">
            <w:pPr>
              <w:tabs>
                <w:tab w:val="left" w:pos="720"/>
                <w:tab w:val="num" w:pos="1080"/>
              </w:tabs>
              <w:ind w:left="720"/>
              <w:rPr>
                <w:sz w:val="12"/>
                <w:szCs w:val="12"/>
              </w:rPr>
            </w:pPr>
          </w:p>
          <w:p w14:paraId="0FA37073" w14:textId="02589605" w:rsidR="008B0DB3" w:rsidRPr="002C6CE1" w:rsidRDefault="008B0DB3" w:rsidP="003E7575">
            <w:pPr>
              <w:pStyle w:val="BodyTextIndent2"/>
              <w:numPr>
                <w:ilvl w:val="0"/>
                <w:numId w:val="15"/>
              </w:numPr>
              <w:tabs>
                <w:tab w:val="left" w:pos="360"/>
                <w:tab w:val="left" w:pos="720"/>
              </w:tabs>
              <w:rPr>
                <w:b/>
              </w:rPr>
            </w:pPr>
            <w:r w:rsidRPr="002C6CE1">
              <w:rPr>
                <w:b/>
                <w:sz w:val="22"/>
              </w:rPr>
              <w:t xml:space="preserve">Cualquier solicitante o participante (o encargado de tomar decisiones legales) del programa de CLTS puede comunicarse con:  </w:t>
            </w:r>
          </w:p>
          <w:p w14:paraId="0C1DA2DA" w14:textId="77777777" w:rsidR="00D832BA" w:rsidRPr="002C6CE1" w:rsidRDefault="00D832BA" w:rsidP="003E7575">
            <w:pPr>
              <w:widowControl w:val="0"/>
              <w:tabs>
                <w:tab w:val="num" w:pos="1080"/>
              </w:tabs>
              <w:ind w:left="720"/>
              <w:rPr>
                <w:sz w:val="12"/>
              </w:rPr>
            </w:pPr>
          </w:p>
          <w:p w14:paraId="67FD4C13" w14:textId="18AE13C5" w:rsidR="00D832BA" w:rsidRPr="002C6CE1" w:rsidRDefault="00D832BA" w:rsidP="00CF20BF">
            <w:pPr>
              <w:widowControl w:val="0"/>
              <w:tabs>
                <w:tab w:val="left" w:pos="90"/>
                <w:tab w:val="num" w:pos="1080"/>
                <w:tab w:val="left" w:pos="2970"/>
                <w:tab w:val="center" w:pos="4680"/>
              </w:tabs>
              <w:ind w:left="720"/>
              <w:rPr>
                <w:color w:val="000000"/>
                <w:szCs w:val="22"/>
              </w:rPr>
            </w:pPr>
            <w:r w:rsidRPr="002C6CE1">
              <w:rPr>
                <w:b/>
              </w:rPr>
              <w:t xml:space="preserve">Disability Rights Wisconsin (Derechos de discapacidad de Wisconsin) en línea en </w:t>
            </w:r>
            <w:hyperlink r:id="rId10" w:history="1">
              <w:r w:rsidRPr="002C6CE1">
                <w:rPr>
                  <w:rStyle w:val="Hyperlink"/>
                </w:rPr>
                <w:t>www.disabilityrightswi.org</w:t>
              </w:r>
            </w:hyperlink>
            <w:r w:rsidRPr="002C6CE1">
              <w:rPr>
                <w:color w:val="000000"/>
                <w:szCs w:val="22"/>
              </w:rPr>
              <w:t xml:space="preserve"> </w:t>
            </w:r>
          </w:p>
          <w:p w14:paraId="7B5C6EA8" w14:textId="77777777" w:rsidR="00D832BA" w:rsidRPr="002C6CE1" w:rsidRDefault="00D832BA" w:rsidP="00CF20BF">
            <w:pPr>
              <w:tabs>
                <w:tab w:val="num" w:pos="1080"/>
              </w:tabs>
              <w:ind w:left="720"/>
              <w:rPr>
                <w:sz w:val="12"/>
                <w:szCs w:val="12"/>
              </w:rPr>
            </w:pPr>
          </w:p>
          <w:p w14:paraId="240E299B" w14:textId="77777777" w:rsidR="00D832BA" w:rsidRPr="002C6CE1" w:rsidRDefault="00D832BA" w:rsidP="00CF20BF">
            <w:pPr>
              <w:tabs>
                <w:tab w:val="num" w:pos="1080"/>
              </w:tabs>
              <w:ind w:left="720"/>
              <w:rPr>
                <w:szCs w:val="22"/>
              </w:rPr>
            </w:pPr>
            <w:r w:rsidRPr="002C6CE1">
              <w:rPr>
                <w:b/>
              </w:rPr>
              <w:t>Oficina de Madison</w:t>
            </w:r>
            <w:r w:rsidRPr="002C6CE1">
              <w:rPr>
                <w:szCs w:val="22"/>
              </w:rPr>
              <w:tab/>
            </w:r>
            <w:r w:rsidRPr="002C6CE1">
              <w:rPr>
                <w:szCs w:val="22"/>
              </w:rPr>
              <w:tab/>
            </w:r>
            <w:r w:rsidRPr="002C6CE1">
              <w:rPr>
                <w:szCs w:val="22"/>
              </w:rPr>
              <w:tab/>
            </w:r>
            <w:r w:rsidRPr="002C6CE1">
              <w:rPr>
                <w:szCs w:val="22"/>
              </w:rPr>
              <w:tab/>
            </w:r>
            <w:r w:rsidRPr="002C6CE1">
              <w:rPr>
                <w:szCs w:val="22"/>
              </w:rPr>
              <w:tab/>
            </w:r>
            <w:r w:rsidRPr="002C6CE1">
              <w:rPr>
                <w:b/>
              </w:rPr>
              <w:t xml:space="preserve">Oficina de Madison Milwaukee </w:t>
            </w:r>
          </w:p>
          <w:p w14:paraId="4E5EDB7A" w14:textId="77777777" w:rsidR="00D832BA" w:rsidRPr="002C6CE1" w:rsidRDefault="00AA1714" w:rsidP="00CF20BF">
            <w:pPr>
              <w:tabs>
                <w:tab w:val="num" w:pos="1080"/>
              </w:tabs>
              <w:ind w:left="720"/>
              <w:rPr>
                <w:szCs w:val="22"/>
                <w:lang w:val="en-US"/>
              </w:rPr>
            </w:pPr>
            <w:r w:rsidRPr="002C6CE1">
              <w:rPr>
                <w:lang w:val="en-US"/>
              </w:rPr>
              <w:t>131 W. Wilson Street, Suite 700</w:t>
            </w:r>
            <w:r w:rsidR="00D832BA" w:rsidRPr="002C6CE1">
              <w:rPr>
                <w:szCs w:val="22"/>
                <w:lang w:val="en-US"/>
              </w:rPr>
              <w:tab/>
            </w:r>
            <w:r w:rsidR="00D832BA" w:rsidRPr="002C6CE1">
              <w:rPr>
                <w:szCs w:val="22"/>
                <w:lang w:val="en-US"/>
              </w:rPr>
              <w:tab/>
            </w:r>
            <w:r w:rsidR="00D832BA" w:rsidRPr="002C6CE1">
              <w:rPr>
                <w:szCs w:val="22"/>
                <w:lang w:val="en-US"/>
              </w:rPr>
              <w:tab/>
            </w:r>
            <w:r w:rsidR="00D832BA" w:rsidRPr="002C6CE1">
              <w:rPr>
                <w:szCs w:val="22"/>
                <w:lang w:val="en-US"/>
              </w:rPr>
              <w:tab/>
              <w:t>6737 West Washington St. Suite 3230</w:t>
            </w:r>
          </w:p>
          <w:p w14:paraId="2816ABB1" w14:textId="77777777" w:rsidR="00D832BA" w:rsidRPr="002C6CE1" w:rsidRDefault="00D832BA" w:rsidP="00CF20BF">
            <w:pPr>
              <w:tabs>
                <w:tab w:val="num" w:pos="1080"/>
              </w:tabs>
              <w:ind w:left="720"/>
              <w:rPr>
                <w:szCs w:val="22"/>
              </w:rPr>
            </w:pPr>
            <w:r w:rsidRPr="002C6CE1">
              <w:rPr>
                <w:szCs w:val="22"/>
              </w:rPr>
              <w:t>Madison, Wisconsin 53703</w:t>
            </w:r>
            <w:r w:rsidRPr="002C6CE1">
              <w:rPr>
                <w:szCs w:val="22"/>
              </w:rPr>
              <w:tab/>
            </w:r>
            <w:r w:rsidRPr="002C6CE1">
              <w:rPr>
                <w:szCs w:val="22"/>
              </w:rPr>
              <w:tab/>
            </w:r>
            <w:r w:rsidRPr="002C6CE1">
              <w:rPr>
                <w:szCs w:val="22"/>
              </w:rPr>
              <w:tab/>
            </w:r>
            <w:r w:rsidRPr="002C6CE1">
              <w:rPr>
                <w:szCs w:val="22"/>
              </w:rPr>
              <w:tab/>
              <w:t>Milwaukee, Wisconsin 53214</w:t>
            </w:r>
          </w:p>
          <w:p w14:paraId="08C56D03" w14:textId="77777777" w:rsidR="00D832BA" w:rsidRPr="002C6CE1" w:rsidRDefault="00D832BA" w:rsidP="00CF20BF">
            <w:pPr>
              <w:tabs>
                <w:tab w:val="num" w:pos="1080"/>
              </w:tabs>
              <w:ind w:left="720"/>
              <w:rPr>
                <w:szCs w:val="22"/>
              </w:rPr>
            </w:pPr>
            <w:r w:rsidRPr="002C6CE1">
              <w:t xml:space="preserve">Teléfono: 608-267-0214 o </w:t>
            </w:r>
            <w:r w:rsidRPr="002C6CE1">
              <w:rPr>
                <w:szCs w:val="22"/>
              </w:rPr>
              <w:tab/>
            </w:r>
            <w:r w:rsidRPr="002C6CE1">
              <w:rPr>
                <w:szCs w:val="22"/>
              </w:rPr>
              <w:tab/>
            </w:r>
            <w:r w:rsidRPr="002C6CE1">
              <w:rPr>
                <w:szCs w:val="22"/>
              </w:rPr>
              <w:tab/>
            </w:r>
            <w:r w:rsidRPr="002C6CE1">
              <w:rPr>
                <w:szCs w:val="22"/>
              </w:rPr>
              <w:tab/>
            </w:r>
            <w:r w:rsidRPr="002C6CE1">
              <w:t>Teléfono: 414-773-4646 (voz) o</w:t>
            </w:r>
          </w:p>
          <w:p w14:paraId="18F3B90D" w14:textId="45A504BF" w:rsidR="00D832BA" w:rsidRPr="002C6CE1" w:rsidRDefault="00D832BA" w:rsidP="00CF20BF">
            <w:pPr>
              <w:tabs>
                <w:tab w:val="num" w:pos="1080"/>
              </w:tabs>
              <w:ind w:left="720"/>
              <w:rPr>
                <w:szCs w:val="22"/>
              </w:rPr>
            </w:pPr>
            <w:r w:rsidRPr="002C6CE1">
              <w:t>1-800-928-8778 (teléfono gratuito)</w:t>
            </w:r>
            <w:r w:rsidR="008B0DB3" w:rsidRPr="002C6CE1">
              <w:rPr>
                <w:szCs w:val="22"/>
              </w:rPr>
              <w:tab/>
            </w:r>
            <w:r w:rsidRPr="002C6CE1">
              <w:t xml:space="preserve">                          </w:t>
            </w:r>
            <w:r w:rsidR="002C6CE1">
              <w:t>1</w:t>
            </w:r>
            <w:r w:rsidRPr="002C6CE1">
              <w:t>-800-928-8778 (teléfono gratuito)</w:t>
            </w:r>
          </w:p>
          <w:p w14:paraId="590EDA99" w14:textId="77777777" w:rsidR="00D832BA" w:rsidRPr="002C6CE1" w:rsidRDefault="00D832BA" w:rsidP="00CF20BF">
            <w:pPr>
              <w:tabs>
                <w:tab w:val="num" w:pos="1080"/>
              </w:tabs>
              <w:ind w:left="720"/>
              <w:rPr>
                <w:szCs w:val="22"/>
              </w:rPr>
            </w:pPr>
            <w:r w:rsidRPr="002C6CE1">
              <w:t>Fax: 608-267-0368</w:t>
            </w:r>
            <w:r w:rsidR="00AA1714" w:rsidRPr="002C6CE1">
              <w:rPr>
                <w:szCs w:val="22"/>
              </w:rPr>
              <w:tab/>
            </w:r>
            <w:r w:rsidR="00AA1714" w:rsidRPr="002C6CE1">
              <w:rPr>
                <w:szCs w:val="22"/>
              </w:rPr>
              <w:tab/>
            </w:r>
            <w:r w:rsidR="00AA1714" w:rsidRPr="002C6CE1">
              <w:rPr>
                <w:szCs w:val="22"/>
              </w:rPr>
              <w:tab/>
            </w:r>
            <w:r w:rsidR="00AA1714" w:rsidRPr="002C6CE1">
              <w:rPr>
                <w:szCs w:val="22"/>
              </w:rPr>
              <w:tab/>
            </w:r>
            <w:r w:rsidR="00AA1714" w:rsidRPr="002C6CE1">
              <w:rPr>
                <w:szCs w:val="22"/>
              </w:rPr>
              <w:tab/>
            </w:r>
            <w:r w:rsidRPr="002C6CE1">
              <w:t>Fax: 414-773-4647</w:t>
            </w:r>
          </w:p>
          <w:p w14:paraId="29E5063C" w14:textId="77777777" w:rsidR="00D832BA" w:rsidRPr="002C6CE1" w:rsidRDefault="00D832BA" w:rsidP="00CF20BF">
            <w:pPr>
              <w:tabs>
                <w:tab w:val="num" w:pos="1080"/>
              </w:tabs>
              <w:ind w:left="720"/>
              <w:rPr>
                <w:sz w:val="16"/>
                <w:szCs w:val="16"/>
              </w:rPr>
            </w:pPr>
          </w:p>
          <w:p w14:paraId="522CFFCA" w14:textId="77777777" w:rsidR="00D832BA" w:rsidRPr="002C6CE1" w:rsidRDefault="00D832BA" w:rsidP="00CF20BF">
            <w:pPr>
              <w:tabs>
                <w:tab w:val="num" w:pos="1080"/>
              </w:tabs>
              <w:ind w:left="720"/>
              <w:rPr>
                <w:b/>
                <w:szCs w:val="22"/>
                <w:lang w:val="en-US"/>
              </w:rPr>
            </w:pPr>
            <w:r w:rsidRPr="002C6CE1">
              <w:rPr>
                <w:b/>
                <w:lang w:val="en-US"/>
              </w:rPr>
              <w:t>Oficina de Rice Lake</w:t>
            </w:r>
          </w:p>
          <w:p w14:paraId="235DD9FA" w14:textId="77777777" w:rsidR="00D832BA" w:rsidRPr="002C6CE1" w:rsidRDefault="00AA1714" w:rsidP="00CF20BF">
            <w:pPr>
              <w:tabs>
                <w:tab w:val="num" w:pos="1080"/>
              </w:tabs>
              <w:ind w:left="720"/>
              <w:rPr>
                <w:szCs w:val="22"/>
                <w:lang w:val="en-US"/>
              </w:rPr>
            </w:pPr>
            <w:r w:rsidRPr="002C6CE1">
              <w:rPr>
                <w:szCs w:val="22"/>
                <w:lang w:val="en-US"/>
              </w:rPr>
              <w:t>217 W Knapp Street</w:t>
            </w:r>
          </w:p>
          <w:p w14:paraId="62800D61" w14:textId="77777777" w:rsidR="00D832BA" w:rsidRPr="002C6CE1" w:rsidRDefault="00D832BA" w:rsidP="00CF20BF">
            <w:pPr>
              <w:tabs>
                <w:tab w:val="num" w:pos="1080"/>
              </w:tabs>
              <w:ind w:left="720"/>
              <w:rPr>
                <w:szCs w:val="22"/>
                <w:lang w:val="en-US"/>
              </w:rPr>
            </w:pPr>
            <w:r w:rsidRPr="002C6CE1">
              <w:rPr>
                <w:szCs w:val="22"/>
                <w:lang w:val="en-US"/>
              </w:rPr>
              <w:t>Rice Lake, WI 54868</w:t>
            </w:r>
          </w:p>
          <w:p w14:paraId="658E3FF7" w14:textId="6097B104" w:rsidR="008B0DB3" w:rsidRPr="002C6CE1" w:rsidRDefault="00D832BA" w:rsidP="00CF20BF">
            <w:pPr>
              <w:tabs>
                <w:tab w:val="num" w:pos="1080"/>
              </w:tabs>
              <w:ind w:left="720"/>
              <w:rPr>
                <w:szCs w:val="22"/>
              </w:rPr>
            </w:pPr>
            <w:r w:rsidRPr="002C6CE1">
              <w:t xml:space="preserve">715-736-1232 (voz) o </w:t>
            </w:r>
          </w:p>
          <w:p w14:paraId="1D38DEFE" w14:textId="77777777" w:rsidR="00D832BA" w:rsidRPr="002C6CE1" w:rsidRDefault="008B0DB3" w:rsidP="00CF20BF">
            <w:pPr>
              <w:tabs>
                <w:tab w:val="num" w:pos="1080"/>
              </w:tabs>
              <w:ind w:left="720"/>
              <w:rPr>
                <w:szCs w:val="22"/>
              </w:rPr>
            </w:pPr>
            <w:r w:rsidRPr="002C6CE1">
              <w:t>1-800-928-8778 (teléfono gratuito)</w:t>
            </w:r>
          </w:p>
          <w:p w14:paraId="29CF7E35" w14:textId="77777777" w:rsidR="00D832BA" w:rsidRPr="002C6CE1" w:rsidRDefault="00D832BA" w:rsidP="00CF20BF">
            <w:pPr>
              <w:tabs>
                <w:tab w:val="num" w:pos="1080"/>
              </w:tabs>
              <w:ind w:left="720"/>
              <w:rPr>
                <w:szCs w:val="22"/>
              </w:rPr>
            </w:pPr>
            <w:r w:rsidRPr="002C6CE1">
              <w:t>Fax: 715-736-1252</w:t>
            </w:r>
          </w:p>
          <w:p w14:paraId="1829791E" w14:textId="77777777" w:rsidR="00D832BA" w:rsidRPr="002C6CE1" w:rsidRDefault="00D832BA" w:rsidP="00CF20BF">
            <w:pPr>
              <w:tabs>
                <w:tab w:val="num" w:pos="1080"/>
              </w:tabs>
              <w:ind w:left="720"/>
              <w:rPr>
                <w:sz w:val="12"/>
                <w:szCs w:val="12"/>
              </w:rPr>
            </w:pPr>
          </w:p>
          <w:p w14:paraId="0A1840C7" w14:textId="0813C86F" w:rsidR="00D832BA" w:rsidRPr="002C6CE1" w:rsidRDefault="00D832BA" w:rsidP="00CF20BF">
            <w:pPr>
              <w:tabs>
                <w:tab w:val="left" w:pos="555"/>
                <w:tab w:val="num" w:pos="1080"/>
              </w:tabs>
              <w:ind w:left="2160"/>
              <w:rPr>
                <w:sz w:val="16"/>
                <w:szCs w:val="16"/>
              </w:rPr>
            </w:pPr>
          </w:p>
          <w:p w14:paraId="3CD1FAD9" w14:textId="77777777" w:rsidR="007415C5" w:rsidRPr="002C6CE1" w:rsidRDefault="007415C5" w:rsidP="00CF20BF">
            <w:pPr>
              <w:pStyle w:val="Heading3"/>
              <w:numPr>
                <w:ilvl w:val="0"/>
                <w:numId w:val="0"/>
              </w:numPr>
              <w:tabs>
                <w:tab w:val="left" w:pos="360"/>
              </w:tabs>
              <w:rPr>
                <w:sz w:val="22"/>
                <w:szCs w:val="22"/>
              </w:rPr>
            </w:pPr>
          </w:p>
          <w:p w14:paraId="5F79D3B4" w14:textId="007FAB0E" w:rsidR="00D832BA" w:rsidRPr="002C6CE1" w:rsidRDefault="00DE733C" w:rsidP="00CF20BF">
            <w:pPr>
              <w:pStyle w:val="Heading3"/>
              <w:numPr>
                <w:ilvl w:val="0"/>
                <w:numId w:val="0"/>
              </w:numPr>
              <w:tabs>
                <w:tab w:val="left" w:pos="360"/>
              </w:tabs>
              <w:rPr>
                <w:sz w:val="22"/>
                <w:szCs w:val="22"/>
              </w:rPr>
            </w:pPr>
            <w:r w:rsidRPr="002C6CE1">
              <w:rPr>
                <w:sz w:val="22"/>
              </w:rPr>
              <w:t>G.</w:t>
            </w:r>
            <w:r w:rsidR="00BE0FA3" w:rsidRPr="002C6CE1">
              <w:rPr>
                <w:sz w:val="22"/>
                <w:szCs w:val="22"/>
              </w:rPr>
              <w:tab/>
            </w:r>
            <w:r w:rsidRPr="002C6CE1">
              <w:rPr>
                <w:sz w:val="22"/>
              </w:rPr>
              <w:t>Responsabilidades del solicitante/participante</w:t>
            </w:r>
          </w:p>
          <w:p w14:paraId="5FBB902F" w14:textId="77777777" w:rsidR="00D832BA" w:rsidRPr="002C6CE1" w:rsidRDefault="00D832BA" w:rsidP="00CF20BF">
            <w:pPr>
              <w:tabs>
                <w:tab w:val="left" w:pos="555"/>
                <w:tab w:val="num" w:pos="1080"/>
              </w:tabs>
              <w:rPr>
                <w:sz w:val="12"/>
                <w:szCs w:val="12"/>
              </w:rPr>
            </w:pPr>
          </w:p>
          <w:p w14:paraId="39973537" w14:textId="385DB626" w:rsidR="00D832BA" w:rsidRPr="002C6CE1" w:rsidRDefault="00D832BA" w:rsidP="00CF20BF">
            <w:pPr>
              <w:pStyle w:val="BodyText2"/>
              <w:tabs>
                <w:tab w:val="num" w:pos="1080"/>
              </w:tabs>
              <w:ind w:left="360"/>
              <w:rPr>
                <w:sz w:val="22"/>
                <w:szCs w:val="22"/>
              </w:rPr>
            </w:pPr>
            <w:r w:rsidRPr="002C6CE1">
              <w:rPr>
                <w:sz w:val="22"/>
              </w:rPr>
              <w:t>Existen responsabilidades específicas que debe cumplir al solicitar o participar en el CLTS Waiver Program (Programa de exención de CLTS).  Si no cumple con estas responsabilidades, es posible que no sea elegible para el programa. Informar cambios con respecto a su situación es muy importante para mantener su elegibilidad. Los cambios deben ser informados de inmediato a la agencia de exenciones, generalmente dentro de los 10 días calendario posteriores a la fecha en que se produzcan.</w:t>
            </w:r>
          </w:p>
          <w:p w14:paraId="78E14629" w14:textId="77777777" w:rsidR="00D832BA" w:rsidRPr="002C6CE1" w:rsidRDefault="00D832BA" w:rsidP="00CF20BF">
            <w:pPr>
              <w:tabs>
                <w:tab w:val="left" w:pos="555"/>
                <w:tab w:val="num" w:pos="1080"/>
              </w:tabs>
              <w:rPr>
                <w:sz w:val="12"/>
                <w:szCs w:val="12"/>
              </w:rPr>
            </w:pPr>
          </w:p>
          <w:p w14:paraId="754D8229" w14:textId="27CD1CE7" w:rsidR="00D832BA" w:rsidRPr="002C6CE1" w:rsidRDefault="00D832BA" w:rsidP="00CF20BF">
            <w:pPr>
              <w:tabs>
                <w:tab w:val="left" w:pos="360"/>
                <w:tab w:val="num" w:pos="720"/>
              </w:tabs>
              <w:ind w:left="720" w:hanging="360"/>
              <w:rPr>
                <w:sz w:val="8"/>
                <w:szCs w:val="8"/>
              </w:rPr>
            </w:pPr>
          </w:p>
          <w:p w14:paraId="3987550F" w14:textId="77777777" w:rsidR="00D832BA" w:rsidRPr="002C6CE1" w:rsidRDefault="008B06AC" w:rsidP="008B06AC">
            <w:pPr>
              <w:numPr>
                <w:ilvl w:val="0"/>
                <w:numId w:val="14"/>
              </w:numPr>
              <w:rPr>
                <w:szCs w:val="22"/>
              </w:rPr>
            </w:pPr>
            <w:r w:rsidRPr="002C6CE1">
              <w:t xml:space="preserve">Manténgase en contacto con su Coordinador de apoyos y servicios y participe en la planificación del servicio y en las actividades de recertificación. </w:t>
            </w:r>
          </w:p>
          <w:p w14:paraId="17D6E529" w14:textId="77777777" w:rsidR="00D832BA" w:rsidRPr="002C6CE1" w:rsidRDefault="00D832BA" w:rsidP="00CF20BF">
            <w:pPr>
              <w:tabs>
                <w:tab w:val="left" w:pos="360"/>
                <w:tab w:val="num" w:pos="720"/>
              </w:tabs>
              <w:ind w:left="720" w:hanging="360"/>
              <w:rPr>
                <w:sz w:val="8"/>
                <w:szCs w:val="8"/>
              </w:rPr>
            </w:pPr>
          </w:p>
          <w:p w14:paraId="2A221F07" w14:textId="77777777" w:rsidR="00D832BA" w:rsidRPr="002C6CE1" w:rsidRDefault="008B06AC" w:rsidP="008B06AC">
            <w:pPr>
              <w:numPr>
                <w:ilvl w:val="0"/>
                <w:numId w:val="14"/>
              </w:numPr>
              <w:rPr>
                <w:szCs w:val="22"/>
              </w:rPr>
            </w:pPr>
            <w:r w:rsidRPr="002C6CE1">
              <w:t xml:space="preserve">Informe si se muda. </w:t>
            </w:r>
          </w:p>
          <w:p w14:paraId="7A0D0DCE" w14:textId="77777777" w:rsidR="00B42004" w:rsidRPr="002C6CE1" w:rsidRDefault="00B42004" w:rsidP="00B42004">
            <w:pPr>
              <w:pStyle w:val="ListParagraph"/>
              <w:rPr>
                <w:sz w:val="8"/>
                <w:szCs w:val="8"/>
              </w:rPr>
            </w:pPr>
          </w:p>
          <w:p w14:paraId="61D795DD" w14:textId="77777777" w:rsidR="00B42004" w:rsidRPr="002C6CE1" w:rsidRDefault="00B42004" w:rsidP="008B06AC">
            <w:pPr>
              <w:numPr>
                <w:ilvl w:val="0"/>
                <w:numId w:val="14"/>
              </w:numPr>
              <w:rPr>
                <w:szCs w:val="22"/>
              </w:rPr>
            </w:pPr>
            <w:r w:rsidRPr="002C6CE1">
              <w:t>Informe cualquier incidente según lo indicado por la agencia de exención y de acuerdo con lo descrito en la Family Guide to Incident Reporting (Guía familiar para la notificación de incidentes) (</w:t>
            </w:r>
            <w:hyperlink r:id="rId11" w:history="1">
              <w:r w:rsidRPr="002C6CE1">
                <w:rPr>
                  <w:rStyle w:val="Hyperlink"/>
                </w:rPr>
                <w:t>P-00069A</w:t>
              </w:r>
            </w:hyperlink>
            <w:r w:rsidRPr="002C6CE1">
              <w:t>).</w:t>
            </w:r>
          </w:p>
          <w:p w14:paraId="269D2D35" w14:textId="77777777" w:rsidR="00D832BA" w:rsidRPr="002C6CE1" w:rsidRDefault="00D832BA" w:rsidP="00CF20BF">
            <w:pPr>
              <w:tabs>
                <w:tab w:val="left" w:pos="360"/>
                <w:tab w:val="num" w:pos="720"/>
              </w:tabs>
              <w:ind w:left="720" w:hanging="360"/>
              <w:rPr>
                <w:sz w:val="8"/>
                <w:szCs w:val="8"/>
              </w:rPr>
            </w:pPr>
          </w:p>
          <w:p w14:paraId="76DC0FA2" w14:textId="77777777" w:rsidR="00D832BA" w:rsidRPr="002C6CE1" w:rsidRDefault="00D832BA" w:rsidP="003E7575">
            <w:pPr>
              <w:ind w:left="1440"/>
              <w:rPr>
                <w:szCs w:val="22"/>
              </w:rPr>
            </w:pPr>
          </w:p>
        </w:tc>
      </w:tr>
      <w:tr w:rsidR="00DB061E" w:rsidRPr="002C6CE1" w14:paraId="001608AA" w14:textId="77777777" w:rsidTr="00CF20BF">
        <w:tc>
          <w:tcPr>
            <w:tcW w:w="10998" w:type="dxa"/>
            <w:gridSpan w:val="2"/>
            <w:tcBorders>
              <w:top w:val="nil"/>
              <w:bottom w:val="single" w:sz="12" w:space="0" w:color="auto"/>
            </w:tcBorders>
            <w:shd w:val="clear" w:color="auto" w:fill="auto"/>
          </w:tcPr>
          <w:p w14:paraId="7C23AFA3" w14:textId="77777777" w:rsidR="00DB061E" w:rsidRPr="002C6CE1" w:rsidRDefault="00DB061E" w:rsidP="00D832BA">
            <w:pPr>
              <w:rPr>
                <w:sz w:val="12"/>
                <w:szCs w:val="12"/>
              </w:rPr>
            </w:pPr>
          </w:p>
        </w:tc>
      </w:tr>
      <w:tr w:rsidR="00D832BA" w:rsidRPr="002C6CE1" w14:paraId="35C9B662" w14:textId="77777777" w:rsidTr="00CF20BF">
        <w:tc>
          <w:tcPr>
            <w:tcW w:w="10998" w:type="dxa"/>
            <w:gridSpan w:val="2"/>
            <w:tcBorders>
              <w:top w:val="single" w:sz="12" w:space="0" w:color="auto"/>
              <w:bottom w:val="single" w:sz="4" w:space="0" w:color="auto"/>
            </w:tcBorders>
            <w:shd w:val="clear" w:color="auto" w:fill="auto"/>
          </w:tcPr>
          <w:p w14:paraId="68570C64" w14:textId="77777777" w:rsidR="00D832BA" w:rsidRPr="002C6CE1" w:rsidRDefault="00D832BA" w:rsidP="00D832BA">
            <w:pPr>
              <w:rPr>
                <w:sz w:val="16"/>
                <w:szCs w:val="16"/>
              </w:rPr>
            </w:pPr>
          </w:p>
          <w:p w14:paraId="6E833FBA" w14:textId="02DA81E5" w:rsidR="00D832BA" w:rsidRPr="002C6CE1" w:rsidRDefault="00D832BA" w:rsidP="00D832BA">
            <w:pPr>
              <w:rPr>
                <w:szCs w:val="22"/>
              </w:rPr>
            </w:pPr>
            <w:r w:rsidRPr="002C6CE1">
              <w:t>Mi firma abajo indica que me informaron y que entiendo mis derechos y responsabilidades bajo el CLTS Waiver Program (Programa de Exención de CLTS). Recibí esta información verbalmente y por escrito.</w:t>
            </w:r>
          </w:p>
          <w:p w14:paraId="3C30C386" w14:textId="77777777" w:rsidR="00D832BA" w:rsidRPr="002C6CE1" w:rsidRDefault="00D832BA" w:rsidP="00D832BA">
            <w:pPr>
              <w:pStyle w:val="forms"/>
              <w:rPr>
                <w:sz w:val="16"/>
                <w:szCs w:val="16"/>
              </w:rPr>
            </w:pPr>
          </w:p>
        </w:tc>
      </w:tr>
      <w:tr w:rsidR="00D832BA" w:rsidRPr="002C6CE1" w14:paraId="73D5B63C" w14:textId="77777777" w:rsidTr="00BF1D5F">
        <w:trPr>
          <w:trHeight w:val="720"/>
        </w:trPr>
        <w:tc>
          <w:tcPr>
            <w:tcW w:w="7740" w:type="dxa"/>
            <w:tcBorders>
              <w:top w:val="single" w:sz="4" w:space="0" w:color="auto"/>
              <w:bottom w:val="single" w:sz="4" w:space="0" w:color="auto"/>
              <w:right w:val="single" w:sz="4" w:space="0" w:color="auto"/>
            </w:tcBorders>
            <w:shd w:val="clear" w:color="auto" w:fill="auto"/>
          </w:tcPr>
          <w:p w14:paraId="1666AB1D" w14:textId="77777777" w:rsidR="00D832BA" w:rsidRPr="002C6CE1" w:rsidRDefault="00D832BA" w:rsidP="00D832BA">
            <w:pPr>
              <w:pStyle w:val="forms"/>
            </w:pPr>
            <w:r w:rsidRPr="002C6CE1">
              <w:rPr>
                <w:b/>
              </w:rPr>
              <w:t>FIRMA</w:t>
            </w:r>
            <w:r w:rsidRPr="002C6CE1">
              <w:t xml:space="preserve"> – Participante/Tutor</w:t>
            </w:r>
          </w:p>
        </w:tc>
        <w:tc>
          <w:tcPr>
            <w:tcW w:w="3258" w:type="dxa"/>
            <w:tcBorders>
              <w:top w:val="single" w:sz="4" w:space="0" w:color="auto"/>
              <w:left w:val="single" w:sz="4" w:space="0" w:color="auto"/>
              <w:bottom w:val="single" w:sz="4" w:space="0" w:color="auto"/>
            </w:tcBorders>
            <w:shd w:val="clear" w:color="auto" w:fill="auto"/>
          </w:tcPr>
          <w:p w14:paraId="7BBF4562" w14:textId="77777777" w:rsidR="00D832BA" w:rsidRPr="002C6CE1" w:rsidRDefault="00D832BA" w:rsidP="00D832BA">
            <w:pPr>
              <w:pStyle w:val="forms"/>
            </w:pPr>
            <w:r w:rsidRPr="002C6CE1">
              <w:t>Fecha de firma</w:t>
            </w:r>
          </w:p>
        </w:tc>
      </w:tr>
      <w:tr w:rsidR="00D832BA" w:rsidRPr="002C6CE1" w14:paraId="354C76B0" w14:textId="77777777" w:rsidTr="00BF1D5F">
        <w:trPr>
          <w:trHeight w:val="720"/>
        </w:trPr>
        <w:tc>
          <w:tcPr>
            <w:tcW w:w="7740" w:type="dxa"/>
            <w:tcBorders>
              <w:top w:val="single" w:sz="4" w:space="0" w:color="auto"/>
              <w:bottom w:val="single" w:sz="4" w:space="0" w:color="auto"/>
              <w:right w:val="single" w:sz="4" w:space="0" w:color="auto"/>
            </w:tcBorders>
            <w:shd w:val="clear" w:color="auto" w:fill="auto"/>
          </w:tcPr>
          <w:p w14:paraId="68BD22E4" w14:textId="13B5D59B" w:rsidR="00D832BA" w:rsidRPr="002C6CE1" w:rsidRDefault="00D832BA">
            <w:pPr>
              <w:pStyle w:val="forms"/>
            </w:pPr>
            <w:r w:rsidRPr="002C6CE1">
              <w:rPr>
                <w:b/>
              </w:rPr>
              <w:t>FIRMA</w:t>
            </w:r>
            <w:r w:rsidRPr="002C6CE1">
              <w:t xml:space="preserve"> – Coordinador de servicios y ayudas</w:t>
            </w:r>
          </w:p>
        </w:tc>
        <w:tc>
          <w:tcPr>
            <w:tcW w:w="3258" w:type="dxa"/>
            <w:tcBorders>
              <w:top w:val="single" w:sz="4" w:space="0" w:color="auto"/>
              <w:left w:val="single" w:sz="4" w:space="0" w:color="auto"/>
              <w:bottom w:val="single" w:sz="4" w:space="0" w:color="auto"/>
            </w:tcBorders>
            <w:shd w:val="clear" w:color="auto" w:fill="auto"/>
          </w:tcPr>
          <w:p w14:paraId="3AF071D9" w14:textId="77777777" w:rsidR="00D832BA" w:rsidRPr="002C6CE1" w:rsidRDefault="00D832BA" w:rsidP="00D832BA">
            <w:pPr>
              <w:pStyle w:val="forms"/>
            </w:pPr>
            <w:r w:rsidRPr="002C6CE1">
              <w:t>Fecha de firma</w:t>
            </w:r>
          </w:p>
        </w:tc>
      </w:tr>
    </w:tbl>
    <w:p w14:paraId="51720425" w14:textId="77777777" w:rsidR="009045C2" w:rsidRPr="002C6CE1" w:rsidRDefault="009045C2">
      <w:pPr>
        <w:rPr>
          <w:sz w:val="4"/>
          <w:szCs w:val="4"/>
        </w:rPr>
      </w:pPr>
    </w:p>
    <w:sectPr w:rsidR="009045C2" w:rsidRPr="002C6CE1" w:rsidSect="004521D0">
      <w:headerReference w:type="default" r:id="rId12"/>
      <w:type w:val="continuous"/>
      <w:pgSz w:w="12240" w:h="15840"/>
      <w:pgMar w:top="576" w:right="720" w:bottom="576" w:left="7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4B2A4" w16cex:dateUtc="2020-11-22T17:49:00Z"/>
  <w16cex:commentExtensible w16cex:durableId="2364B279" w16cex:dateUtc="2020-11-22T17:48:00Z"/>
  <w16cex:commentExtensible w16cex:durableId="2364B356" w16cex:dateUtc="2020-11-22T17:52:00Z"/>
  <w16cex:commentExtensible w16cex:durableId="2364B373" w16cex:dateUtc="2020-11-22T1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9AC7A" w14:textId="77777777" w:rsidR="002C1125" w:rsidRDefault="002C1125" w:rsidP="00986498">
      <w:r>
        <w:separator/>
      </w:r>
    </w:p>
  </w:endnote>
  <w:endnote w:type="continuationSeparator" w:id="0">
    <w:p w14:paraId="2B523B76" w14:textId="77777777" w:rsidR="002C1125" w:rsidRDefault="002C1125" w:rsidP="00986498">
      <w:r>
        <w:continuationSeparator/>
      </w:r>
    </w:p>
  </w:endnote>
  <w:endnote w:type="continuationNotice" w:id="1">
    <w:p w14:paraId="389D8E4F" w14:textId="77777777" w:rsidR="002C1125" w:rsidRDefault="002C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48F7" w14:textId="77777777" w:rsidR="002C1125" w:rsidRDefault="002C1125" w:rsidP="00986498">
      <w:r>
        <w:separator/>
      </w:r>
    </w:p>
  </w:footnote>
  <w:footnote w:type="continuationSeparator" w:id="0">
    <w:p w14:paraId="04074587" w14:textId="77777777" w:rsidR="002C1125" w:rsidRDefault="002C1125" w:rsidP="00986498">
      <w:r>
        <w:continuationSeparator/>
      </w:r>
    </w:p>
  </w:footnote>
  <w:footnote w:type="continuationNotice" w:id="1">
    <w:p w14:paraId="5926049D" w14:textId="77777777" w:rsidR="002C1125" w:rsidRDefault="002C1125"/>
  </w:footnote>
  <w:footnote w:id="2">
    <w:p w14:paraId="1E15E0DA" w14:textId="728A79BD" w:rsidR="00A708E0" w:rsidRDefault="00A708E0">
      <w:pPr>
        <w:pStyle w:val="FootnoteText"/>
      </w:pPr>
      <w:r>
        <w:rPr>
          <w:rStyle w:val="FootnoteReference"/>
        </w:rPr>
        <w:footnoteRef/>
      </w:r>
      <w:r>
        <w:t xml:space="preserve"> Los servicios registrados en los planes de servicio que no están autorizados a través del CLTS Waiver Program (Programa de exención de CLTS) no se consideran servicios cubiertos por exenciones.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C3C4" w14:textId="43187B08" w:rsidR="00A708E0" w:rsidRPr="002C6CE1" w:rsidRDefault="00A708E0" w:rsidP="00DB061E">
    <w:pPr>
      <w:pStyle w:val="forms"/>
      <w:tabs>
        <w:tab w:val="right" w:pos="10800"/>
      </w:tabs>
      <w:rPr>
        <w:rStyle w:val="PageNumber"/>
      </w:rPr>
    </w:pPr>
    <w:r w:rsidRPr="002C6CE1">
      <w:t>F-20985</w:t>
    </w:r>
    <w:r w:rsidRPr="002C6CE1">
      <w:tab/>
      <w:t xml:space="preserve">Página </w:t>
    </w:r>
    <w:r w:rsidRPr="002C6CE1">
      <w:rPr>
        <w:rStyle w:val="PageNumber"/>
      </w:rPr>
      <w:fldChar w:fldCharType="begin"/>
    </w:r>
    <w:r w:rsidRPr="002C6CE1">
      <w:rPr>
        <w:rStyle w:val="PageNumber"/>
      </w:rPr>
      <w:instrText xml:space="preserve"> PAGE </w:instrText>
    </w:r>
    <w:r w:rsidRPr="002C6CE1">
      <w:rPr>
        <w:rStyle w:val="PageNumber"/>
      </w:rPr>
      <w:fldChar w:fldCharType="separate"/>
    </w:r>
    <w:r w:rsidR="006708FC">
      <w:rPr>
        <w:rStyle w:val="PageNumber"/>
        <w:noProof/>
      </w:rPr>
      <w:t>4</w:t>
    </w:r>
    <w:r w:rsidRPr="002C6CE1">
      <w:rPr>
        <w:rStyle w:val="PageNumber"/>
      </w:rPr>
      <w:fldChar w:fldCharType="end"/>
    </w:r>
  </w:p>
  <w:p w14:paraId="1CE6155D" w14:textId="77777777" w:rsidR="00A708E0" w:rsidRDefault="00A708E0" w:rsidP="00DB061E">
    <w:pPr>
      <w:pStyle w:val="forms"/>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B22"/>
    <w:multiLevelType w:val="hybridMultilevel"/>
    <w:tmpl w:val="92D470FE"/>
    <w:lvl w:ilvl="0" w:tplc="81062B4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E6E1A"/>
    <w:multiLevelType w:val="singleLevel"/>
    <w:tmpl w:val="5E4E5954"/>
    <w:lvl w:ilvl="0">
      <w:start w:val="1"/>
      <w:numFmt w:val="decimal"/>
      <w:lvlText w:val="%1."/>
      <w:lvlJc w:val="left"/>
      <w:pPr>
        <w:tabs>
          <w:tab w:val="num" w:pos="1440"/>
        </w:tabs>
        <w:ind w:left="1440" w:hanging="720"/>
      </w:pPr>
      <w:rPr>
        <w:rFonts w:hint="default"/>
      </w:rPr>
    </w:lvl>
  </w:abstractNum>
  <w:abstractNum w:abstractNumId="2" w15:restartNumberingAfterBreak="0">
    <w:nsid w:val="09187E38"/>
    <w:multiLevelType w:val="singleLevel"/>
    <w:tmpl w:val="051C7A4E"/>
    <w:lvl w:ilvl="0">
      <w:start w:val="1"/>
      <w:numFmt w:val="decimal"/>
      <w:lvlText w:val="%1."/>
      <w:lvlJc w:val="left"/>
      <w:pPr>
        <w:tabs>
          <w:tab w:val="num" w:pos="1440"/>
        </w:tabs>
        <w:ind w:left="1440" w:hanging="720"/>
      </w:pPr>
      <w:rPr>
        <w:rFonts w:hint="default"/>
      </w:rPr>
    </w:lvl>
  </w:abstractNum>
  <w:abstractNum w:abstractNumId="3" w15:restartNumberingAfterBreak="0">
    <w:nsid w:val="136674D4"/>
    <w:multiLevelType w:val="singleLevel"/>
    <w:tmpl w:val="83F6108C"/>
    <w:lvl w:ilvl="0">
      <w:start w:val="3"/>
      <w:numFmt w:val="decimal"/>
      <w:lvlText w:val="%1."/>
      <w:lvlJc w:val="left"/>
      <w:pPr>
        <w:tabs>
          <w:tab w:val="num" w:pos="360"/>
        </w:tabs>
        <w:ind w:left="360" w:hanging="360"/>
      </w:pPr>
    </w:lvl>
  </w:abstractNum>
  <w:abstractNum w:abstractNumId="4" w15:restartNumberingAfterBreak="0">
    <w:nsid w:val="39E254D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AB57C80"/>
    <w:multiLevelType w:val="singleLevel"/>
    <w:tmpl w:val="FA0AD8FE"/>
    <w:lvl w:ilvl="0">
      <w:start w:val="1"/>
      <w:numFmt w:val="decimal"/>
      <w:lvlText w:val="%1."/>
      <w:lvlJc w:val="left"/>
      <w:pPr>
        <w:tabs>
          <w:tab w:val="num" w:pos="1440"/>
        </w:tabs>
        <w:ind w:left="1440" w:hanging="720"/>
      </w:pPr>
      <w:rPr>
        <w:rFonts w:hint="default"/>
      </w:rPr>
    </w:lvl>
  </w:abstractNum>
  <w:abstractNum w:abstractNumId="6" w15:restartNumberingAfterBreak="0">
    <w:nsid w:val="431F3FDA"/>
    <w:multiLevelType w:val="hybridMultilevel"/>
    <w:tmpl w:val="3FECAD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A10867"/>
    <w:multiLevelType w:val="singleLevel"/>
    <w:tmpl w:val="0A9070BA"/>
    <w:lvl w:ilvl="0">
      <w:start w:val="1"/>
      <w:numFmt w:val="decimal"/>
      <w:lvlText w:val="%1."/>
      <w:lvlJc w:val="left"/>
      <w:pPr>
        <w:tabs>
          <w:tab w:val="num" w:pos="1080"/>
        </w:tabs>
        <w:ind w:left="1080" w:hanging="720"/>
      </w:pPr>
      <w:rPr>
        <w:rFonts w:hint="default"/>
      </w:rPr>
    </w:lvl>
  </w:abstractNum>
  <w:abstractNum w:abstractNumId="8" w15:restartNumberingAfterBreak="0">
    <w:nsid w:val="45813487"/>
    <w:multiLevelType w:val="singleLevel"/>
    <w:tmpl w:val="883E5722"/>
    <w:lvl w:ilvl="0">
      <w:start w:val="1"/>
      <w:numFmt w:val="upperLetter"/>
      <w:pStyle w:val="Heading3"/>
      <w:lvlText w:val="%1."/>
      <w:lvlJc w:val="left"/>
      <w:pPr>
        <w:tabs>
          <w:tab w:val="num" w:pos="720"/>
        </w:tabs>
        <w:ind w:left="720" w:hanging="720"/>
      </w:pPr>
      <w:rPr>
        <w:rFonts w:hint="default"/>
      </w:rPr>
    </w:lvl>
  </w:abstractNum>
  <w:abstractNum w:abstractNumId="9" w15:restartNumberingAfterBreak="0">
    <w:nsid w:val="5F56209A"/>
    <w:multiLevelType w:val="hybridMultilevel"/>
    <w:tmpl w:val="D1F8A0E6"/>
    <w:lvl w:ilvl="0" w:tplc="BFBC22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97E40"/>
    <w:multiLevelType w:val="hybridMultilevel"/>
    <w:tmpl w:val="7774FD34"/>
    <w:lvl w:ilvl="0" w:tplc="8186992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C1F6B"/>
    <w:multiLevelType w:val="hybridMultilevel"/>
    <w:tmpl w:val="8ED0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8408B"/>
    <w:multiLevelType w:val="hybridMultilevel"/>
    <w:tmpl w:val="62B6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40012"/>
    <w:multiLevelType w:val="hybridMultilevel"/>
    <w:tmpl w:val="8ED0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54B9A"/>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5"/>
  </w:num>
  <w:num w:numId="3">
    <w:abstractNumId w:val="1"/>
  </w:num>
  <w:num w:numId="4">
    <w:abstractNumId w:val="7"/>
  </w:num>
  <w:num w:numId="5">
    <w:abstractNumId w:val="2"/>
  </w:num>
  <w:num w:numId="6">
    <w:abstractNumId w:val="8"/>
    <w:lvlOverride w:ilvl="0">
      <w:startOverride w:val="6"/>
    </w:lvlOverride>
  </w:num>
  <w:num w:numId="7">
    <w:abstractNumId w:val="14"/>
  </w:num>
  <w:num w:numId="8">
    <w:abstractNumId w:val="4"/>
  </w:num>
  <w:num w:numId="9">
    <w:abstractNumId w:val="3"/>
  </w:num>
  <w:num w:numId="10">
    <w:abstractNumId w:val="6"/>
  </w:num>
  <w:num w:numId="11">
    <w:abstractNumId w:val="0"/>
  </w:num>
  <w:num w:numId="12">
    <w:abstractNumId w:val="12"/>
  </w:num>
  <w:num w:numId="13">
    <w:abstractNumId w:val="9"/>
  </w:num>
  <w:num w:numId="14">
    <w:abstractNumId w:val="1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vBcPvqk9WL3KLDM5UggPPeqCYJyj0mtlInwV2lm6Ur1kNGWAWuGfcls/es/Q96u6EfgIz/oPAeeu2cBNY2qA==" w:salt="J7CNo8qm5r9cBGOAKLXLg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15"/>
    <w:rsid w:val="00002821"/>
    <w:rsid w:val="00004F2A"/>
    <w:rsid w:val="00011CA5"/>
    <w:rsid w:val="00017634"/>
    <w:rsid w:val="0002747C"/>
    <w:rsid w:val="00046235"/>
    <w:rsid w:val="000553FC"/>
    <w:rsid w:val="0006543C"/>
    <w:rsid w:val="00065BCB"/>
    <w:rsid w:val="0007179E"/>
    <w:rsid w:val="00073ABC"/>
    <w:rsid w:val="000757BA"/>
    <w:rsid w:val="00076063"/>
    <w:rsid w:val="00076C70"/>
    <w:rsid w:val="000A1AFE"/>
    <w:rsid w:val="000A7361"/>
    <w:rsid w:val="000B419D"/>
    <w:rsid w:val="000C04FF"/>
    <w:rsid w:val="000C06B7"/>
    <w:rsid w:val="000C5415"/>
    <w:rsid w:val="000C6D6B"/>
    <w:rsid w:val="000D11B8"/>
    <w:rsid w:val="000E5734"/>
    <w:rsid w:val="00102A7B"/>
    <w:rsid w:val="00102B03"/>
    <w:rsid w:val="0010320D"/>
    <w:rsid w:val="00114478"/>
    <w:rsid w:val="00126211"/>
    <w:rsid w:val="00130313"/>
    <w:rsid w:val="00132982"/>
    <w:rsid w:val="001446BE"/>
    <w:rsid w:val="00147D88"/>
    <w:rsid w:val="001631E1"/>
    <w:rsid w:val="00166E3D"/>
    <w:rsid w:val="00194725"/>
    <w:rsid w:val="001950F8"/>
    <w:rsid w:val="001A368D"/>
    <w:rsid w:val="001A7DF1"/>
    <w:rsid w:val="001B3068"/>
    <w:rsid w:val="001C2018"/>
    <w:rsid w:val="001C2BFE"/>
    <w:rsid w:val="001C3919"/>
    <w:rsid w:val="001C4815"/>
    <w:rsid w:val="001D56D5"/>
    <w:rsid w:val="001E30E9"/>
    <w:rsid w:val="001E4D4D"/>
    <w:rsid w:val="001F07E1"/>
    <w:rsid w:val="001F211D"/>
    <w:rsid w:val="00211149"/>
    <w:rsid w:val="00215232"/>
    <w:rsid w:val="00222AB7"/>
    <w:rsid w:val="0023610B"/>
    <w:rsid w:val="00266B63"/>
    <w:rsid w:val="00273620"/>
    <w:rsid w:val="00273EC1"/>
    <w:rsid w:val="002A498F"/>
    <w:rsid w:val="002B1C18"/>
    <w:rsid w:val="002B7EC4"/>
    <w:rsid w:val="002C1125"/>
    <w:rsid w:val="002C6CE1"/>
    <w:rsid w:val="002E1383"/>
    <w:rsid w:val="00316297"/>
    <w:rsid w:val="0032029E"/>
    <w:rsid w:val="003302EA"/>
    <w:rsid w:val="003326B8"/>
    <w:rsid w:val="00347C43"/>
    <w:rsid w:val="003A09B8"/>
    <w:rsid w:val="003A5119"/>
    <w:rsid w:val="003A5EAF"/>
    <w:rsid w:val="003B3DAE"/>
    <w:rsid w:val="003C19CF"/>
    <w:rsid w:val="003D541B"/>
    <w:rsid w:val="003E7575"/>
    <w:rsid w:val="003F2709"/>
    <w:rsid w:val="00413335"/>
    <w:rsid w:val="00417AAF"/>
    <w:rsid w:val="00435538"/>
    <w:rsid w:val="0044727D"/>
    <w:rsid w:val="0045091D"/>
    <w:rsid w:val="004521D0"/>
    <w:rsid w:val="00467903"/>
    <w:rsid w:val="00472176"/>
    <w:rsid w:val="00472CFD"/>
    <w:rsid w:val="00473B56"/>
    <w:rsid w:val="00474D48"/>
    <w:rsid w:val="004868B9"/>
    <w:rsid w:val="00487631"/>
    <w:rsid w:val="0049237B"/>
    <w:rsid w:val="004947C3"/>
    <w:rsid w:val="00494B58"/>
    <w:rsid w:val="00497480"/>
    <w:rsid w:val="004B2D54"/>
    <w:rsid w:val="004C6FDA"/>
    <w:rsid w:val="004D1B71"/>
    <w:rsid w:val="004D23E1"/>
    <w:rsid w:val="004F0309"/>
    <w:rsid w:val="00505EC4"/>
    <w:rsid w:val="00506B14"/>
    <w:rsid w:val="00507AC5"/>
    <w:rsid w:val="00510EB5"/>
    <w:rsid w:val="005120FF"/>
    <w:rsid w:val="0051711B"/>
    <w:rsid w:val="00522E60"/>
    <w:rsid w:val="00531B4B"/>
    <w:rsid w:val="00533711"/>
    <w:rsid w:val="00535C27"/>
    <w:rsid w:val="00542C12"/>
    <w:rsid w:val="0055187F"/>
    <w:rsid w:val="00560497"/>
    <w:rsid w:val="00561BCC"/>
    <w:rsid w:val="005620D1"/>
    <w:rsid w:val="00573DAB"/>
    <w:rsid w:val="005760DD"/>
    <w:rsid w:val="00584C20"/>
    <w:rsid w:val="0058554F"/>
    <w:rsid w:val="005870F8"/>
    <w:rsid w:val="00595E8E"/>
    <w:rsid w:val="005A3B5C"/>
    <w:rsid w:val="005A69F7"/>
    <w:rsid w:val="005B5748"/>
    <w:rsid w:val="005D6C4E"/>
    <w:rsid w:val="005E3B85"/>
    <w:rsid w:val="005F765A"/>
    <w:rsid w:val="00622ACC"/>
    <w:rsid w:val="00627552"/>
    <w:rsid w:val="00643A18"/>
    <w:rsid w:val="00657696"/>
    <w:rsid w:val="0066425F"/>
    <w:rsid w:val="006708FC"/>
    <w:rsid w:val="00672D86"/>
    <w:rsid w:val="0067665C"/>
    <w:rsid w:val="00680B14"/>
    <w:rsid w:val="006962F2"/>
    <w:rsid w:val="006B36EA"/>
    <w:rsid w:val="006C1DED"/>
    <w:rsid w:val="006C2D3A"/>
    <w:rsid w:val="006D7830"/>
    <w:rsid w:val="006E0841"/>
    <w:rsid w:val="006E148E"/>
    <w:rsid w:val="006E1BF5"/>
    <w:rsid w:val="006F070A"/>
    <w:rsid w:val="006F723C"/>
    <w:rsid w:val="007007BC"/>
    <w:rsid w:val="007049AA"/>
    <w:rsid w:val="007073CF"/>
    <w:rsid w:val="0071197D"/>
    <w:rsid w:val="007135EE"/>
    <w:rsid w:val="00725FA6"/>
    <w:rsid w:val="00731071"/>
    <w:rsid w:val="00734A58"/>
    <w:rsid w:val="007415C5"/>
    <w:rsid w:val="00741A15"/>
    <w:rsid w:val="00746720"/>
    <w:rsid w:val="00760BDC"/>
    <w:rsid w:val="00762DB7"/>
    <w:rsid w:val="0076365A"/>
    <w:rsid w:val="00777067"/>
    <w:rsid w:val="007B1394"/>
    <w:rsid w:val="007B3272"/>
    <w:rsid w:val="007C709C"/>
    <w:rsid w:val="007C7DB9"/>
    <w:rsid w:val="007D3DE3"/>
    <w:rsid w:val="00802F0C"/>
    <w:rsid w:val="00817C53"/>
    <w:rsid w:val="0082160F"/>
    <w:rsid w:val="0082273A"/>
    <w:rsid w:val="00835A37"/>
    <w:rsid w:val="00853B3C"/>
    <w:rsid w:val="00853F51"/>
    <w:rsid w:val="008647EE"/>
    <w:rsid w:val="00887D29"/>
    <w:rsid w:val="008968A4"/>
    <w:rsid w:val="008A54F4"/>
    <w:rsid w:val="008B06AC"/>
    <w:rsid w:val="008B0DB3"/>
    <w:rsid w:val="008D552A"/>
    <w:rsid w:val="008D572D"/>
    <w:rsid w:val="008D7969"/>
    <w:rsid w:val="008F4642"/>
    <w:rsid w:val="008F504D"/>
    <w:rsid w:val="00900CC7"/>
    <w:rsid w:val="009045C2"/>
    <w:rsid w:val="00916EA9"/>
    <w:rsid w:val="009226A7"/>
    <w:rsid w:val="00924BA0"/>
    <w:rsid w:val="00932B42"/>
    <w:rsid w:val="00935DE1"/>
    <w:rsid w:val="00937963"/>
    <w:rsid w:val="00947DB2"/>
    <w:rsid w:val="0096117F"/>
    <w:rsid w:val="009729E7"/>
    <w:rsid w:val="009755D4"/>
    <w:rsid w:val="0098260B"/>
    <w:rsid w:val="00983012"/>
    <w:rsid w:val="00986498"/>
    <w:rsid w:val="0099231C"/>
    <w:rsid w:val="009933FD"/>
    <w:rsid w:val="009A65FB"/>
    <w:rsid w:val="009B0C87"/>
    <w:rsid w:val="009B662F"/>
    <w:rsid w:val="009B6F67"/>
    <w:rsid w:val="009C1024"/>
    <w:rsid w:val="009C58A0"/>
    <w:rsid w:val="009E4A48"/>
    <w:rsid w:val="009F0538"/>
    <w:rsid w:val="009F7319"/>
    <w:rsid w:val="00A01E64"/>
    <w:rsid w:val="00A03F04"/>
    <w:rsid w:val="00A12DC2"/>
    <w:rsid w:val="00A170FA"/>
    <w:rsid w:val="00A21556"/>
    <w:rsid w:val="00A25AE8"/>
    <w:rsid w:val="00A2635D"/>
    <w:rsid w:val="00A3250A"/>
    <w:rsid w:val="00A35B64"/>
    <w:rsid w:val="00A42056"/>
    <w:rsid w:val="00A51106"/>
    <w:rsid w:val="00A6656D"/>
    <w:rsid w:val="00A7073A"/>
    <w:rsid w:val="00A708E0"/>
    <w:rsid w:val="00A7304F"/>
    <w:rsid w:val="00A75742"/>
    <w:rsid w:val="00A7654C"/>
    <w:rsid w:val="00A9332E"/>
    <w:rsid w:val="00AA1714"/>
    <w:rsid w:val="00AA3FD4"/>
    <w:rsid w:val="00AA7002"/>
    <w:rsid w:val="00AC1434"/>
    <w:rsid w:val="00AC4F49"/>
    <w:rsid w:val="00AC7B8C"/>
    <w:rsid w:val="00AD11DA"/>
    <w:rsid w:val="00AD3718"/>
    <w:rsid w:val="00AD39FC"/>
    <w:rsid w:val="00AD67B4"/>
    <w:rsid w:val="00AE0F50"/>
    <w:rsid w:val="00AE76FF"/>
    <w:rsid w:val="00AF603B"/>
    <w:rsid w:val="00AF74A7"/>
    <w:rsid w:val="00B10BD8"/>
    <w:rsid w:val="00B2265F"/>
    <w:rsid w:val="00B22E99"/>
    <w:rsid w:val="00B2508E"/>
    <w:rsid w:val="00B26B21"/>
    <w:rsid w:val="00B3120D"/>
    <w:rsid w:val="00B40A0D"/>
    <w:rsid w:val="00B42004"/>
    <w:rsid w:val="00B50B72"/>
    <w:rsid w:val="00B53C2C"/>
    <w:rsid w:val="00B56DF4"/>
    <w:rsid w:val="00B571BD"/>
    <w:rsid w:val="00B66894"/>
    <w:rsid w:val="00B7303A"/>
    <w:rsid w:val="00B767F3"/>
    <w:rsid w:val="00B91F10"/>
    <w:rsid w:val="00B93938"/>
    <w:rsid w:val="00B97B1F"/>
    <w:rsid w:val="00BB2992"/>
    <w:rsid w:val="00BC47A5"/>
    <w:rsid w:val="00BC7F70"/>
    <w:rsid w:val="00BD4302"/>
    <w:rsid w:val="00BD571D"/>
    <w:rsid w:val="00BE0FA3"/>
    <w:rsid w:val="00BF1D5F"/>
    <w:rsid w:val="00BF7AAD"/>
    <w:rsid w:val="00C013B0"/>
    <w:rsid w:val="00C04D4E"/>
    <w:rsid w:val="00C06F1C"/>
    <w:rsid w:val="00C078C4"/>
    <w:rsid w:val="00C17E31"/>
    <w:rsid w:val="00C339DC"/>
    <w:rsid w:val="00C3439C"/>
    <w:rsid w:val="00C45E10"/>
    <w:rsid w:val="00C52162"/>
    <w:rsid w:val="00C54A14"/>
    <w:rsid w:val="00C81386"/>
    <w:rsid w:val="00CA0956"/>
    <w:rsid w:val="00CB38DF"/>
    <w:rsid w:val="00CB519B"/>
    <w:rsid w:val="00CD2EDA"/>
    <w:rsid w:val="00CE1167"/>
    <w:rsid w:val="00CE3617"/>
    <w:rsid w:val="00CF15BD"/>
    <w:rsid w:val="00CF20BF"/>
    <w:rsid w:val="00CF2B6C"/>
    <w:rsid w:val="00CF37A9"/>
    <w:rsid w:val="00CF7D79"/>
    <w:rsid w:val="00D1547D"/>
    <w:rsid w:val="00D168E7"/>
    <w:rsid w:val="00D4036E"/>
    <w:rsid w:val="00D41CA5"/>
    <w:rsid w:val="00D8317A"/>
    <w:rsid w:val="00D832BA"/>
    <w:rsid w:val="00D921A0"/>
    <w:rsid w:val="00DB061E"/>
    <w:rsid w:val="00DB3D75"/>
    <w:rsid w:val="00DC6359"/>
    <w:rsid w:val="00DC75A6"/>
    <w:rsid w:val="00DE733C"/>
    <w:rsid w:val="00E12DBB"/>
    <w:rsid w:val="00E176ED"/>
    <w:rsid w:val="00E203D7"/>
    <w:rsid w:val="00E22FF6"/>
    <w:rsid w:val="00E24199"/>
    <w:rsid w:val="00E318F2"/>
    <w:rsid w:val="00E345DB"/>
    <w:rsid w:val="00E35222"/>
    <w:rsid w:val="00E358A8"/>
    <w:rsid w:val="00E42052"/>
    <w:rsid w:val="00E4324E"/>
    <w:rsid w:val="00E4741C"/>
    <w:rsid w:val="00E53537"/>
    <w:rsid w:val="00E6762B"/>
    <w:rsid w:val="00E95582"/>
    <w:rsid w:val="00EA08A9"/>
    <w:rsid w:val="00EA2192"/>
    <w:rsid w:val="00EC5602"/>
    <w:rsid w:val="00EC6044"/>
    <w:rsid w:val="00EF3446"/>
    <w:rsid w:val="00EF3F96"/>
    <w:rsid w:val="00F01360"/>
    <w:rsid w:val="00F016A9"/>
    <w:rsid w:val="00F01ADE"/>
    <w:rsid w:val="00F11532"/>
    <w:rsid w:val="00F167D7"/>
    <w:rsid w:val="00F22E95"/>
    <w:rsid w:val="00F34E26"/>
    <w:rsid w:val="00F3506D"/>
    <w:rsid w:val="00F4465A"/>
    <w:rsid w:val="00F56AEF"/>
    <w:rsid w:val="00F57358"/>
    <w:rsid w:val="00F632FB"/>
    <w:rsid w:val="00F81931"/>
    <w:rsid w:val="00F84954"/>
    <w:rsid w:val="00F84DE0"/>
    <w:rsid w:val="00F87A84"/>
    <w:rsid w:val="00F93BD1"/>
    <w:rsid w:val="00FA30D0"/>
    <w:rsid w:val="00FA3607"/>
    <w:rsid w:val="00FC2364"/>
    <w:rsid w:val="00FD044A"/>
    <w:rsid w:val="00FE5F33"/>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453BB"/>
  <w15:docId w15:val="{E95E5055-69B0-45BA-8C38-D81A9DBC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rsid w:val="00D832BA"/>
    <w:pPr>
      <w:keepNext/>
      <w:outlineLvl w:val="0"/>
    </w:pPr>
    <w:rPr>
      <w:b/>
      <w:sz w:val="24"/>
    </w:rPr>
  </w:style>
  <w:style w:type="paragraph" w:styleId="Heading3">
    <w:name w:val="heading 3"/>
    <w:basedOn w:val="Normal"/>
    <w:next w:val="Normal"/>
    <w:qFormat/>
    <w:rsid w:val="00D832BA"/>
    <w:pPr>
      <w:keepNext/>
      <w:numPr>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odyText">
    <w:name w:val="Body Text"/>
    <w:basedOn w:val="Normal"/>
    <w:rsid w:val="00D832BA"/>
    <w:rPr>
      <w:b/>
      <w:sz w:val="24"/>
    </w:rPr>
  </w:style>
  <w:style w:type="paragraph" w:styleId="BodyTextIndent">
    <w:name w:val="Body Text Indent"/>
    <w:basedOn w:val="Normal"/>
    <w:rsid w:val="00D832BA"/>
    <w:pPr>
      <w:ind w:left="1440" w:hanging="720"/>
    </w:pPr>
    <w:rPr>
      <w:sz w:val="24"/>
    </w:rPr>
  </w:style>
  <w:style w:type="paragraph" w:styleId="BodyTextIndent2">
    <w:name w:val="Body Text Indent 2"/>
    <w:basedOn w:val="Normal"/>
    <w:rsid w:val="00D832BA"/>
    <w:pPr>
      <w:ind w:left="1350"/>
    </w:pPr>
    <w:rPr>
      <w:sz w:val="24"/>
    </w:rPr>
  </w:style>
  <w:style w:type="paragraph" w:styleId="BodyText2">
    <w:name w:val="Body Text 2"/>
    <w:basedOn w:val="Normal"/>
    <w:rsid w:val="00D832BA"/>
    <w:rPr>
      <w:sz w:val="24"/>
    </w:rPr>
  </w:style>
  <w:style w:type="character" w:styleId="Hyperlink">
    <w:name w:val="Hyperlink"/>
    <w:rsid w:val="00D832BA"/>
    <w:rPr>
      <w:color w:val="0000FF"/>
      <w:u w:val="single"/>
    </w:rPr>
  </w:style>
  <w:style w:type="paragraph" w:styleId="BalloonText">
    <w:name w:val="Balloon Text"/>
    <w:basedOn w:val="Normal"/>
    <w:semiHidden/>
    <w:rsid w:val="000C5415"/>
    <w:rPr>
      <w:rFonts w:ascii="Tahoma" w:hAnsi="Tahoma" w:cs="Tahoma"/>
      <w:sz w:val="16"/>
      <w:szCs w:val="16"/>
    </w:rPr>
  </w:style>
  <w:style w:type="paragraph" w:styleId="FootnoteText">
    <w:name w:val="footnote text"/>
    <w:basedOn w:val="Normal"/>
    <w:semiHidden/>
    <w:rsid w:val="0082160F"/>
    <w:rPr>
      <w:sz w:val="20"/>
    </w:rPr>
  </w:style>
  <w:style w:type="character" w:styleId="FootnoteReference">
    <w:name w:val="footnote reference"/>
    <w:semiHidden/>
    <w:rsid w:val="0082160F"/>
    <w:rPr>
      <w:vertAlign w:val="superscript"/>
    </w:rPr>
  </w:style>
  <w:style w:type="paragraph" w:styleId="ListParagraph">
    <w:name w:val="List Paragraph"/>
    <w:basedOn w:val="Normal"/>
    <w:uiPriority w:val="34"/>
    <w:qFormat/>
    <w:rsid w:val="00C078C4"/>
    <w:pPr>
      <w:ind w:left="720"/>
      <w:contextualSpacing/>
    </w:pPr>
  </w:style>
  <w:style w:type="character" w:styleId="CommentReference">
    <w:name w:val="annotation reference"/>
    <w:basedOn w:val="DefaultParagraphFont"/>
    <w:semiHidden/>
    <w:unhideWhenUsed/>
    <w:rsid w:val="00EA08A9"/>
    <w:rPr>
      <w:sz w:val="16"/>
      <w:szCs w:val="16"/>
    </w:rPr>
  </w:style>
  <w:style w:type="paragraph" w:styleId="CommentText">
    <w:name w:val="annotation text"/>
    <w:basedOn w:val="Normal"/>
    <w:link w:val="CommentTextChar"/>
    <w:unhideWhenUsed/>
    <w:rsid w:val="00EA08A9"/>
    <w:rPr>
      <w:sz w:val="20"/>
    </w:rPr>
  </w:style>
  <w:style w:type="character" w:customStyle="1" w:styleId="CommentTextChar">
    <w:name w:val="Comment Text Char"/>
    <w:basedOn w:val="DefaultParagraphFont"/>
    <w:link w:val="CommentText"/>
    <w:rsid w:val="00EA08A9"/>
  </w:style>
  <w:style w:type="paragraph" w:styleId="CommentSubject">
    <w:name w:val="annotation subject"/>
    <w:basedOn w:val="CommentText"/>
    <w:next w:val="CommentText"/>
    <w:link w:val="CommentSubjectChar"/>
    <w:semiHidden/>
    <w:unhideWhenUsed/>
    <w:rsid w:val="00EA08A9"/>
    <w:rPr>
      <w:b/>
      <w:bCs/>
    </w:rPr>
  </w:style>
  <w:style w:type="character" w:customStyle="1" w:styleId="CommentSubjectChar">
    <w:name w:val="Comment Subject Char"/>
    <w:basedOn w:val="CommentTextChar"/>
    <w:link w:val="CommentSubject"/>
    <w:semiHidden/>
    <w:rsid w:val="00EA08A9"/>
    <w:rPr>
      <w:b/>
      <w:bCs/>
    </w:rPr>
  </w:style>
  <w:style w:type="paragraph" w:styleId="Revision">
    <w:name w:val="Revision"/>
    <w:hidden/>
    <w:uiPriority w:val="99"/>
    <w:semiHidden/>
    <w:rsid w:val="005B574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code/admin_code/dhs/001/1/0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0/p00069a.pdf"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disabilityrightswi.org" TargetMode="External"/><Relationship Id="rId4" Type="http://schemas.openxmlformats.org/officeDocument/2006/relationships/settings" Target="settings.xml"/><Relationship Id="rId9" Type="http://schemas.openxmlformats.org/officeDocument/2006/relationships/hyperlink" Target="https://www.govinfo.gov/app/details/CFR-2010-title42-vol4/CFR-2010-title42-vol4-sec431-2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2B90-1BC6-4357-91D8-626C316E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2225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Participant Rights and Responsibilities Notification, Spanish</vt:lpstr>
    </vt:vector>
  </TitlesOfParts>
  <Manager>DMS</Manager>
  <Company>WI DHS</Company>
  <LinksUpToDate>false</LinksUpToDate>
  <CharactersWithSpaces>14312</CharactersWithSpaces>
  <SharedDoc>false</SharedDoc>
  <HLinks>
    <vt:vector size="6" baseType="variant">
      <vt:variant>
        <vt:i4>2293810</vt:i4>
      </vt:variant>
      <vt:variant>
        <vt:i4>0</vt:i4>
      </vt:variant>
      <vt:variant>
        <vt:i4>0</vt:i4>
      </vt:variant>
      <vt:variant>
        <vt:i4>5</vt:i4>
      </vt:variant>
      <vt:variant>
        <vt:lpwstr>http://www.disabilityrightswi.org/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Rights and Responsibilities Notification, Spanish</dc:title>
  <dc:subject>Participant Rights and Responsibilities Notification, Spanish</dc:subject>
  <dc:creator>DMS</dc:creator>
  <cp:keywords>f-20985s, 70985s, rights, responsibilities, medicaid, waiver, programs</cp:keywords>
  <cp:lastModifiedBy>Pritchard, James B</cp:lastModifiedBy>
  <cp:revision>6</cp:revision>
  <cp:lastPrinted>2020-02-19T16:49:00Z</cp:lastPrinted>
  <dcterms:created xsi:type="dcterms:W3CDTF">2020-11-23T16:29:00Z</dcterms:created>
  <dcterms:modified xsi:type="dcterms:W3CDTF">2020-11-23T17:58:00Z</dcterms:modified>
</cp:coreProperties>
</file>