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proofErr w:type="gramStart"/>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proofErr w:type="gramEnd"/>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67A9C985"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E003E2">
              <w:rPr>
                <w:noProof/>
                <w:sz w:val="22"/>
              </w:rPr>
              <w:t>Antipsychotic</w:t>
            </w:r>
            <w:r w:rsidR="008C4A9D">
              <w:rPr>
                <w:noProof/>
                <w:sz w:val="22"/>
              </w:rPr>
              <w:t>, Anticholinergic/Antimuscarinic</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1E40B7EA"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E003E2">
              <w:rPr>
                <w:sz w:val="22"/>
              </w:rPr>
              <w:t>Cobenfy</w:t>
            </w:r>
            <w:r>
              <w:rPr>
                <w:sz w:val="22"/>
              </w:rPr>
              <w:fldChar w:fldCharType="end"/>
            </w:r>
            <w:bookmarkEnd w:id="8"/>
          </w:p>
          <w:p w14:paraId="7A26C4B6" w14:textId="01FC47F0"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E003E2">
              <w:rPr>
                <w:sz w:val="22"/>
              </w:rPr>
              <w:t>xanomeline/trospium chloride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050A199B"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E003E2">
              <w:rPr>
                <w:noProof/>
                <w:sz w:val="22"/>
              </w:rPr>
              <w:t>Xanomeline 50 mg/trospium 20 mg orally twice daily for at least 2 days, then xanomeline 100 mg/trospium 20 mg orallly twice daily for at least 5 days, may increase to MAX of xanomeline 125 mg/trospium 30 mg orally twice daily</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501C356F"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ed/>
                  </w:checkBox>
                </w:ffData>
              </w:fldChar>
            </w:r>
            <w:r>
              <w:instrText xml:space="preserve"> FORMCHECKBOX </w:instrText>
            </w:r>
            <w:r w:rsidR="00E916C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E916C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916C7">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E916C7">
              <w:rPr>
                <w:b w:val="0"/>
              </w:rPr>
            </w:r>
            <w:r w:rsidR="00E916C7">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916C7">
              <w:rPr>
                <w:b w:val="0"/>
              </w:rPr>
            </w:r>
            <w:r w:rsidR="00E916C7">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916C7">
              <w:rPr>
                <w:b w:val="0"/>
              </w:rPr>
            </w:r>
            <w:r w:rsidR="00E916C7">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E916C7">
              <w:rPr>
                <w:b w:val="0"/>
              </w:rPr>
            </w:r>
            <w:r w:rsidR="00E916C7">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E916C7">
              <w:rPr>
                <w:b w:val="0"/>
              </w:rPr>
            </w:r>
            <w:r w:rsidR="00E916C7">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E916C7">
              <w:rPr>
                <w:b w:val="0"/>
              </w:rPr>
            </w:r>
            <w:r w:rsidR="00E916C7">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E916C7">
              <w:rPr>
                <w:b w:val="0"/>
              </w:rPr>
            </w:r>
            <w:r w:rsidR="00E916C7">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E916C7">
              <w:rPr>
                <w:b w:val="0"/>
              </w:rPr>
            </w:r>
            <w:r w:rsidR="00E916C7">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E916C7">
              <w:rPr>
                <w:b w:val="0"/>
              </w:rPr>
            </w:r>
            <w:r w:rsidR="00E916C7">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E916C7">
              <w:rPr>
                <w:b w:val="0"/>
              </w:rPr>
            </w:r>
            <w:r w:rsidR="00E916C7">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549B30F"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8C4A9D">
              <w:rPr>
                <w:noProof/>
                <w:sz w:val="22"/>
              </w:rPr>
              <w:t>Cobenfy</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8C4A9D">
              <w:rPr>
                <w:sz w:val="22"/>
              </w:rPr>
              <w:t>xanomeline/trospium chloride</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205A68">
            <w:pPr>
              <w:pStyle w:val="Heading4"/>
              <w:keepNext w:val="0"/>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 xml:space="preserve">As part of monitoring some of these potential side effects, your physician may order laboratory or other tests. The treatment team will closely monitor individuals who are unable to readily communicate side effects </w:t>
            </w:r>
            <w:proofErr w:type="gramStart"/>
            <w:r w:rsidRPr="004553BF">
              <w:rPr>
                <w:b w:val="0"/>
              </w:rPr>
              <w:t>in order to</w:t>
            </w:r>
            <w:proofErr w:type="gramEnd"/>
            <w:r w:rsidRPr="004553BF">
              <w:rPr>
                <w:b w:val="0"/>
              </w:rPr>
              <w:t xml:space="preserve">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486915" w:rsidRDefault="003379BD" w:rsidP="00205A68">
            <w:pPr>
              <w:pStyle w:val="Heading6"/>
              <w:keepNext w:val="0"/>
              <w:rPr>
                <w:b w:val="0"/>
                <w:sz w:val="18"/>
                <w:szCs w:val="18"/>
              </w:rPr>
            </w:pPr>
            <w:r w:rsidRPr="00486915">
              <w:rPr>
                <w:b w:val="0"/>
                <w:sz w:val="18"/>
                <w:szCs w:val="18"/>
              </w:rPr>
              <w:t>Continued – Possible side effects, warnings</w:t>
            </w:r>
            <w:r w:rsidR="00097390" w:rsidRPr="00486915">
              <w:rPr>
                <w:b w:val="0"/>
                <w:sz w:val="18"/>
                <w:szCs w:val="18"/>
              </w:rPr>
              <w:t>,</w:t>
            </w:r>
            <w:r w:rsidRPr="00486915">
              <w:rPr>
                <w:b w:val="0"/>
                <w:sz w:val="18"/>
                <w:szCs w:val="18"/>
              </w:rPr>
              <w:t xml:space="preserve"> and cautions associated with this medication.</w:t>
            </w:r>
          </w:p>
          <w:p w14:paraId="2CE42C91" w14:textId="23B2DEBD" w:rsidR="0021563E" w:rsidRPr="00486915" w:rsidRDefault="003379BD" w:rsidP="00205A68">
            <w:pPr>
              <w:pStyle w:val="Heading6"/>
              <w:keepNext w:val="0"/>
              <w:rPr>
                <w:rFonts w:ascii="Times New Roman" w:hAnsi="Times New Roman"/>
                <w:b w:val="0"/>
                <w:sz w:val="18"/>
                <w:szCs w:val="18"/>
              </w:rPr>
            </w:pPr>
            <w:r w:rsidRPr="00486915">
              <w:rPr>
                <w:sz w:val="18"/>
                <w:szCs w:val="18"/>
              </w:rPr>
              <w:t>Most Common Side Effects</w:t>
            </w:r>
            <w:r w:rsidR="00615A39" w:rsidRPr="00486915">
              <w:rPr>
                <w:sz w:val="18"/>
                <w:szCs w:val="18"/>
              </w:rPr>
              <w:t>:</w:t>
            </w:r>
            <w:r w:rsidRPr="00486915">
              <w:rPr>
                <w:sz w:val="18"/>
                <w:szCs w:val="18"/>
              </w:rPr>
              <w:t xml:space="preserve"> </w:t>
            </w:r>
            <w:r w:rsidR="00615A39" w:rsidRPr="00486915">
              <w:rPr>
                <w:b w:val="0"/>
                <w:bCs/>
                <w:sz w:val="18"/>
                <w:szCs w:val="18"/>
              </w:rPr>
              <w:t>The most common side effects include hypertension, abdominal pain, constipation, diarrhea, indigestion, nausea, vomiting.</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04F34950" w:rsidR="003379BD" w:rsidRPr="00486915" w:rsidRDefault="003379BD" w:rsidP="00205A68">
            <w:pPr>
              <w:rPr>
                <w:b/>
                <w:sz w:val="18"/>
                <w:szCs w:val="18"/>
              </w:rPr>
            </w:pPr>
            <w:r w:rsidRPr="00486915">
              <w:rPr>
                <w:rFonts w:ascii="Arial" w:hAnsi="Arial"/>
                <w:b/>
                <w:snapToGrid w:val="0"/>
                <w:color w:val="000000"/>
                <w:sz w:val="18"/>
                <w:szCs w:val="18"/>
              </w:rPr>
              <w:t xml:space="preserve">Less </w:t>
            </w:r>
            <w:r w:rsidR="005325D4" w:rsidRPr="00486915">
              <w:rPr>
                <w:rFonts w:ascii="Arial" w:hAnsi="Arial"/>
                <w:b/>
                <w:snapToGrid w:val="0"/>
                <w:color w:val="000000"/>
                <w:sz w:val="18"/>
                <w:szCs w:val="18"/>
              </w:rPr>
              <w:t>C</w:t>
            </w:r>
            <w:r w:rsidRPr="00486915">
              <w:rPr>
                <w:rFonts w:ascii="Arial" w:hAnsi="Arial"/>
                <w:b/>
                <w:snapToGrid w:val="0"/>
                <w:color w:val="000000"/>
                <w:sz w:val="18"/>
                <w:szCs w:val="18"/>
              </w:rPr>
              <w:t>ommon Side Effects</w:t>
            </w:r>
            <w:r w:rsidR="00615A39" w:rsidRPr="00486915">
              <w:rPr>
                <w:rFonts w:ascii="Arial" w:hAnsi="Arial"/>
                <w:b/>
                <w:snapToGrid w:val="0"/>
                <w:color w:val="000000"/>
                <w:sz w:val="18"/>
                <w:szCs w:val="18"/>
              </w:rPr>
              <w:t>:</w:t>
            </w:r>
            <w:r w:rsidRPr="00486915">
              <w:rPr>
                <w:rFonts w:ascii="Arial" w:hAnsi="Arial"/>
                <w:b/>
                <w:snapToGrid w:val="0"/>
                <w:color w:val="000000"/>
                <w:sz w:val="18"/>
                <w:szCs w:val="18"/>
              </w:rPr>
              <w:t xml:space="preserve"> </w:t>
            </w:r>
            <w:r w:rsidR="00615A39" w:rsidRPr="00486915">
              <w:rPr>
                <w:rFonts w:ascii="Arial" w:hAnsi="Arial"/>
                <w:bCs/>
                <w:snapToGrid w:val="0"/>
                <w:color w:val="000000"/>
                <w:sz w:val="18"/>
                <w:szCs w:val="18"/>
              </w:rPr>
              <w:t>Less common side effects include tachycardia, gastrointestinal hypomotility, urinary retention, angioedema.</w:t>
            </w:r>
            <w:r w:rsidR="00615A39" w:rsidRPr="00486915">
              <w:rPr>
                <w:rFonts w:ascii="Arial" w:hAnsi="Arial"/>
                <w:b/>
                <w:snapToGrid w:val="0"/>
                <w:color w:val="000000"/>
                <w:sz w:val="18"/>
                <w:szCs w:val="18"/>
              </w:rPr>
              <w:t xml:space="preserve"> </w:t>
            </w:r>
          </w:p>
        </w:tc>
      </w:tr>
      <w:tr w:rsidR="003379BD" w14:paraId="16ADBA3D" w14:textId="77777777" w:rsidTr="00683097">
        <w:trPr>
          <w:cantSplit/>
          <w:trHeight w:val="576"/>
        </w:trPr>
        <w:tc>
          <w:tcPr>
            <w:tcW w:w="11448" w:type="dxa"/>
            <w:gridSpan w:val="2"/>
            <w:tcBorders>
              <w:top w:val="nil"/>
              <w:left w:val="nil"/>
              <w:bottom w:val="nil"/>
              <w:right w:val="nil"/>
            </w:tcBorders>
          </w:tcPr>
          <w:p w14:paraId="4446C8BC" w14:textId="24E9973E" w:rsidR="00486915" w:rsidRPr="00486915" w:rsidRDefault="003379BD" w:rsidP="00205A68">
            <w:pPr>
              <w:rPr>
                <w:rFonts w:ascii="Arial" w:hAnsi="Arial" w:cs="Arial"/>
                <w:sz w:val="18"/>
                <w:szCs w:val="18"/>
              </w:rPr>
            </w:pPr>
            <w:r w:rsidRPr="00486915">
              <w:rPr>
                <w:rFonts w:ascii="Arial" w:hAnsi="Arial"/>
                <w:b/>
                <w:sz w:val="18"/>
                <w:szCs w:val="18"/>
              </w:rPr>
              <w:t>Rare Side Effects</w:t>
            </w:r>
            <w:r w:rsidR="00615A39" w:rsidRPr="00486915">
              <w:rPr>
                <w:rFonts w:ascii="Arial" w:hAnsi="Arial"/>
                <w:b/>
                <w:sz w:val="18"/>
                <w:szCs w:val="18"/>
              </w:rPr>
              <w:t>:</w:t>
            </w:r>
            <w:r w:rsidRPr="00486915">
              <w:rPr>
                <w:sz w:val="18"/>
                <w:szCs w:val="18"/>
              </w:rPr>
              <w:t xml:space="preserve"> </w:t>
            </w:r>
            <w:r w:rsidR="00486915" w:rsidRPr="00486915">
              <w:rPr>
                <w:rFonts w:ascii="Arial" w:hAnsi="Arial" w:cs="Arial"/>
                <w:sz w:val="18"/>
                <w:szCs w:val="18"/>
              </w:rPr>
              <w:t xml:space="preserve">Rare side effects include tachycardia, increased heart rate and sinus tachycardia. Antimuscarinic agents may decrease gastrointestinal motility, especially in those with gastrointestinal obstructive disorders, ulcerative colitis, intestinal </w:t>
            </w:r>
            <w:proofErr w:type="gramStart"/>
            <w:r w:rsidR="00486915" w:rsidRPr="00486915">
              <w:rPr>
                <w:rFonts w:ascii="Arial" w:hAnsi="Arial" w:cs="Arial"/>
                <w:sz w:val="18"/>
                <w:szCs w:val="18"/>
              </w:rPr>
              <w:t>atony</w:t>
            </w:r>
            <w:proofErr w:type="gramEnd"/>
            <w:r w:rsidR="00486915" w:rsidRPr="00486915">
              <w:rPr>
                <w:rFonts w:ascii="Arial" w:hAnsi="Arial" w:cs="Arial"/>
                <w:sz w:val="18"/>
                <w:szCs w:val="18"/>
              </w:rPr>
              <w:t xml:space="preserve"> or myasthenia gravis. Urinary retention may occur with any </w:t>
            </w:r>
            <w:proofErr w:type="gramStart"/>
            <w:r w:rsidR="00486915" w:rsidRPr="00486915">
              <w:rPr>
                <w:rFonts w:ascii="Arial" w:hAnsi="Arial" w:cs="Arial"/>
                <w:sz w:val="18"/>
                <w:szCs w:val="18"/>
              </w:rPr>
              <w:t>dose, but</w:t>
            </w:r>
            <w:proofErr w:type="gramEnd"/>
            <w:r w:rsidR="00486915" w:rsidRPr="00486915">
              <w:rPr>
                <w:rFonts w:ascii="Arial" w:hAnsi="Arial" w:cs="Arial"/>
                <w:sz w:val="18"/>
                <w:szCs w:val="18"/>
              </w:rPr>
              <w:t xml:space="preserve"> was predominately observed with higher dosage. Urinary retention occurred more commonly in men, geriatric patients, and those with clinically significant bladder outlet obstruction and incomplete bladder emptying. Angioedema has been reported during post marketing surveillance of </w:t>
            </w:r>
            <w:proofErr w:type="spellStart"/>
            <w:r w:rsidR="00486915" w:rsidRPr="00486915">
              <w:rPr>
                <w:rFonts w:ascii="Arial" w:hAnsi="Arial" w:cs="Arial"/>
                <w:sz w:val="18"/>
                <w:szCs w:val="18"/>
              </w:rPr>
              <w:t>trospium</w:t>
            </w:r>
            <w:proofErr w:type="spellEnd"/>
            <w:r w:rsidR="00486915" w:rsidRPr="00486915">
              <w:rPr>
                <w:rFonts w:ascii="Arial" w:hAnsi="Arial" w:cs="Arial"/>
                <w:sz w:val="18"/>
                <w:szCs w:val="18"/>
              </w:rPr>
              <w:t xml:space="preserve"> chloride (including a single dose exposure).</w:t>
            </w:r>
          </w:p>
          <w:p w14:paraId="6FBE1F8B" w14:textId="71FA4648" w:rsidR="00486915" w:rsidRPr="00486915" w:rsidRDefault="00486915" w:rsidP="00205A68">
            <w:pPr>
              <w:rPr>
                <w:b/>
                <w:sz w:val="18"/>
                <w:szCs w:val="18"/>
              </w:rPr>
            </w:pPr>
          </w:p>
          <w:p w14:paraId="4AB82D46" w14:textId="305BDC26" w:rsidR="003379BD" w:rsidRPr="00486915" w:rsidRDefault="003379BD" w:rsidP="00205A68">
            <w:pPr>
              <w:rPr>
                <w:b/>
                <w:sz w:val="18"/>
                <w:szCs w:val="18"/>
              </w:rPr>
            </w:pPr>
          </w:p>
        </w:tc>
      </w:tr>
      <w:tr w:rsidR="003379BD" w14:paraId="0666E783" w14:textId="77777777" w:rsidTr="00683097">
        <w:trPr>
          <w:cantSplit/>
          <w:trHeight w:val="576"/>
        </w:trPr>
        <w:tc>
          <w:tcPr>
            <w:tcW w:w="11448" w:type="dxa"/>
            <w:gridSpan w:val="2"/>
            <w:tcBorders>
              <w:top w:val="nil"/>
              <w:left w:val="nil"/>
              <w:bottom w:val="nil"/>
              <w:right w:val="nil"/>
            </w:tcBorders>
          </w:tcPr>
          <w:p w14:paraId="5D1FFFF6" w14:textId="1BBD5EC1" w:rsidR="00486915" w:rsidRPr="00486915" w:rsidRDefault="003379BD" w:rsidP="00205A68">
            <w:pPr>
              <w:rPr>
                <w:rFonts w:ascii="Arial" w:hAnsi="Arial"/>
                <w:bCs/>
                <w:snapToGrid w:val="0"/>
                <w:color w:val="000000"/>
                <w:sz w:val="18"/>
                <w:szCs w:val="18"/>
              </w:rPr>
            </w:pPr>
            <w:r w:rsidRPr="00486915">
              <w:rPr>
                <w:rFonts w:ascii="Arial" w:hAnsi="Arial"/>
                <w:b/>
                <w:snapToGrid w:val="0"/>
                <w:color w:val="000000"/>
                <w:sz w:val="18"/>
                <w:szCs w:val="18"/>
              </w:rPr>
              <w:t>Caution</w:t>
            </w:r>
            <w:r w:rsidR="00615A39" w:rsidRPr="00486915">
              <w:rPr>
                <w:rFonts w:ascii="Arial" w:hAnsi="Arial"/>
                <w:b/>
                <w:snapToGrid w:val="0"/>
                <w:color w:val="000000"/>
                <w:sz w:val="18"/>
                <w:szCs w:val="18"/>
              </w:rPr>
              <w:t>:</w:t>
            </w:r>
            <w:r w:rsidRPr="00486915">
              <w:rPr>
                <w:rFonts w:ascii="Arial" w:hAnsi="Arial"/>
                <w:b/>
                <w:snapToGrid w:val="0"/>
                <w:color w:val="000000"/>
                <w:sz w:val="18"/>
                <w:szCs w:val="18"/>
              </w:rPr>
              <w:t xml:space="preserve"> </w:t>
            </w:r>
            <w:r w:rsidR="00486915" w:rsidRPr="00486915">
              <w:rPr>
                <w:rFonts w:ascii="Arial" w:hAnsi="Arial"/>
                <w:bCs/>
                <w:snapToGrid w:val="0"/>
                <w:color w:val="000000"/>
                <w:sz w:val="18"/>
                <w:szCs w:val="18"/>
              </w:rPr>
              <w:t xml:space="preserve">Tachycardia, increased heart rate and sinus tachycardia. The mean increase in heart rate was 9.8 beats per minute (bpm) in an 8-week dedicated study of 24-hour ambulatory blood pressure monitoring in patients with schizophrenia. Peak heart rate elevation of 13.5 bpm occurred on day 8 with an elevation of 11.4 bpm at the end of week 5. Antimuscarinic agents may decrease gastrointestinal motility, especially in those with gastrointestinal obstructive disorders, ulcerative colitis, intestinal atony, or myasthenia gravis. Urinary retention may occur with any </w:t>
            </w:r>
            <w:proofErr w:type="gramStart"/>
            <w:r w:rsidR="00486915" w:rsidRPr="00486915">
              <w:rPr>
                <w:rFonts w:ascii="Arial" w:hAnsi="Arial"/>
                <w:bCs/>
                <w:snapToGrid w:val="0"/>
                <w:color w:val="000000"/>
                <w:sz w:val="18"/>
                <w:szCs w:val="18"/>
              </w:rPr>
              <w:t>dose, but</w:t>
            </w:r>
            <w:proofErr w:type="gramEnd"/>
            <w:r w:rsidR="00486915" w:rsidRPr="00486915">
              <w:rPr>
                <w:rFonts w:ascii="Arial" w:hAnsi="Arial"/>
                <w:bCs/>
                <w:snapToGrid w:val="0"/>
                <w:color w:val="000000"/>
                <w:sz w:val="18"/>
                <w:szCs w:val="18"/>
              </w:rPr>
              <w:t xml:space="preserve"> was predominately observed with higher dosage. Urinary retention occurred more commonly in men, geriatric patients, and those with clinically significant bladder outlet obstruction and incomplete bladder emptying. Angioedema has been reported during post marketing surveillance of </w:t>
            </w:r>
            <w:proofErr w:type="spellStart"/>
            <w:r w:rsidR="00486915" w:rsidRPr="00486915">
              <w:rPr>
                <w:rFonts w:ascii="Arial" w:hAnsi="Arial"/>
                <w:bCs/>
                <w:snapToGrid w:val="0"/>
                <w:color w:val="000000"/>
                <w:sz w:val="18"/>
                <w:szCs w:val="18"/>
              </w:rPr>
              <w:t>trospium</w:t>
            </w:r>
            <w:proofErr w:type="spellEnd"/>
            <w:r w:rsidR="00486915" w:rsidRPr="00486915">
              <w:rPr>
                <w:rFonts w:ascii="Arial" w:hAnsi="Arial"/>
                <w:bCs/>
                <w:snapToGrid w:val="0"/>
                <w:color w:val="000000"/>
                <w:sz w:val="18"/>
                <w:szCs w:val="18"/>
              </w:rPr>
              <w:t xml:space="preserve"> chloride (including a single dose exposure).</w:t>
            </w:r>
          </w:p>
          <w:p w14:paraId="42030A04" w14:textId="4DA6B9C3" w:rsidR="00486915" w:rsidRPr="00486915" w:rsidRDefault="00486915" w:rsidP="00205A68">
            <w:pPr>
              <w:rPr>
                <w:b/>
                <w:sz w:val="18"/>
                <w:szCs w:val="18"/>
              </w:rPr>
            </w:pPr>
          </w:p>
          <w:p w14:paraId="21CE678A" w14:textId="4AE8E103" w:rsidR="003379BD" w:rsidRPr="00486915" w:rsidRDefault="003379BD" w:rsidP="00205A68">
            <w:pPr>
              <w:rPr>
                <w:b/>
                <w:sz w:val="18"/>
                <w:szCs w:val="18"/>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004D06F9" w14:textId="44F4AC0B" w:rsidR="003379BD" w:rsidRPr="00486915" w:rsidRDefault="003379BD" w:rsidP="00205A68">
            <w:pPr>
              <w:rPr>
                <w:bCs/>
                <w:snapToGrid w:val="0"/>
                <w:color w:val="000000"/>
                <w:sz w:val="18"/>
                <w:szCs w:val="18"/>
              </w:rPr>
            </w:pPr>
            <w:r w:rsidRPr="00486915">
              <w:rPr>
                <w:rFonts w:ascii="Arial" w:hAnsi="Arial"/>
                <w:b/>
                <w:snapToGrid w:val="0"/>
                <w:color w:val="000000"/>
                <w:sz w:val="18"/>
                <w:szCs w:val="18"/>
              </w:rPr>
              <w:t>Warning</w:t>
            </w:r>
            <w:r w:rsidR="00615A39" w:rsidRPr="00486915">
              <w:rPr>
                <w:rFonts w:ascii="Arial" w:hAnsi="Arial"/>
                <w:b/>
                <w:snapToGrid w:val="0"/>
                <w:color w:val="000000"/>
                <w:sz w:val="18"/>
                <w:szCs w:val="18"/>
              </w:rPr>
              <w:t>:</w:t>
            </w:r>
            <w:r w:rsidRPr="00486915">
              <w:rPr>
                <w:rFonts w:ascii="Arial" w:hAnsi="Arial"/>
                <w:b/>
                <w:snapToGrid w:val="0"/>
                <w:color w:val="000000"/>
                <w:sz w:val="18"/>
                <w:szCs w:val="18"/>
              </w:rPr>
              <w:t xml:space="preserve"> </w:t>
            </w:r>
            <w:proofErr w:type="spellStart"/>
            <w:r w:rsidR="00486915" w:rsidRPr="00486915">
              <w:rPr>
                <w:rFonts w:ascii="Arial" w:hAnsi="Arial"/>
                <w:bCs/>
                <w:snapToGrid w:val="0"/>
                <w:color w:val="000000"/>
                <w:sz w:val="18"/>
                <w:szCs w:val="18"/>
              </w:rPr>
              <w:t>Cobenfy</w:t>
            </w:r>
            <w:proofErr w:type="spellEnd"/>
            <w:r w:rsidR="00486915" w:rsidRPr="00486915">
              <w:rPr>
                <w:rFonts w:ascii="Arial" w:hAnsi="Arial"/>
                <w:bCs/>
                <w:snapToGrid w:val="0"/>
                <w:color w:val="000000"/>
                <w:sz w:val="18"/>
                <w:szCs w:val="18"/>
              </w:rPr>
              <w:t xml:space="preserve"> should be avoided in patients with gastric retention, history of hypersensitivity to </w:t>
            </w:r>
            <w:proofErr w:type="spellStart"/>
            <w:r w:rsidR="00486915" w:rsidRPr="00486915">
              <w:rPr>
                <w:rFonts w:ascii="Arial" w:hAnsi="Arial"/>
                <w:bCs/>
                <w:snapToGrid w:val="0"/>
                <w:color w:val="000000"/>
                <w:sz w:val="18"/>
                <w:szCs w:val="18"/>
              </w:rPr>
              <w:t>xanomeline</w:t>
            </w:r>
            <w:proofErr w:type="spellEnd"/>
            <w:r w:rsidR="00486915" w:rsidRPr="00486915">
              <w:rPr>
                <w:rFonts w:ascii="Arial" w:hAnsi="Arial"/>
                <w:bCs/>
                <w:snapToGrid w:val="0"/>
                <w:color w:val="000000"/>
                <w:sz w:val="18"/>
                <w:szCs w:val="18"/>
              </w:rPr>
              <w:t xml:space="preserve"> and </w:t>
            </w:r>
            <w:proofErr w:type="spellStart"/>
            <w:r w:rsidR="00486915" w:rsidRPr="00486915">
              <w:rPr>
                <w:rFonts w:ascii="Arial" w:hAnsi="Arial"/>
                <w:bCs/>
                <w:snapToGrid w:val="0"/>
                <w:color w:val="000000"/>
                <w:sz w:val="18"/>
                <w:szCs w:val="18"/>
              </w:rPr>
              <w:t>trospium</w:t>
            </w:r>
            <w:proofErr w:type="spellEnd"/>
            <w:r w:rsidR="00486915" w:rsidRPr="00486915">
              <w:rPr>
                <w:rFonts w:ascii="Arial" w:hAnsi="Arial"/>
                <w:bCs/>
                <w:snapToGrid w:val="0"/>
                <w:color w:val="000000"/>
                <w:sz w:val="18"/>
                <w:szCs w:val="18"/>
              </w:rPr>
              <w:t xml:space="preserve"> chloride, moderate or severe hepatic impairment (Child-Pugh Class B and C), uncontrolled narrow-angle glaucoma and urinary retention.</w:t>
            </w:r>
            <w:r w:rsidRPr="00486915">
              <w:rPr>
                <w:rFonts w:ascii="Arial" w:hAnsi="Arial"/>
                <w:bCs/>
                <w:snapToGrid w:val="0"/>
                <w:color w:val="000000"/>
                <w:sz w:val="18"/>
                <w:szCs w:val="18"/>
              </w:rPr>
              <w:t xml:space="preserve"> </w:t>
            </w:r>
          </w:p>
          <w:p w14:paraId="34CC3FEB" w14:textId="6336C05D" w:rsidR="00615A39" w:rsidRPr="00486915" w:rsidRDefault="00615A39" w:rsidP="00205A68">
            <w:pPr>
              <w:rPr>
                <w:noProof/>
                <w:snapToGrid w:val="0"/>
                <w:color w:val="000000"/>
                <w:sz w:val="18"/>
                <w:szCs w:val="18"/>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49BFC6A" w:rsidR="0056414C" w:rsidRPr="00916D82" w:rsidRDefault="004553BF" w:rsidP="00205A68">
            <w:pPr>
              <w:rPr>
                <w:snapToGrid w:val="0"/>
                <w:color w:val="000000"/>
              </w:rPr>
            </w:pPr>
            <w:r>
              <w:rPr>
                <w:rFonts w:ascii="Arial" w:hAnsi="Arial"/>
                <w:b/>
                <w:snapToGrid w:val="0"/>
                <w:color w:val="000000"/>
                <w:sz w:val="18"/>
              </w:rPr>
              <w:t>Syndrome Note</w:t>
            </w:r>
            <w:r w:rsidR="00615A39">
              <w:rPr>
                <w:rFonts w:ascii="Arial" w:hAnsi="Arial"/>
                <w:b/>
                <w:snapToGrid w:val="0"/>
                <w:color w:val="000000"/>
                <w:sz w:val="18"/>
              </w:rPr>
              <w:t>:</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205A68">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205A68">
            <w:pPr>
              <w:pStyle w:val="BodyText"/>
              <w:keepNext/>
              <w:keepLines/>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205A68">
            <w:pPr>
              <w:pStyle w:val="BodyTextIndent2"/>
              <w:keepNext/>
              <w:keepLines/>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205A68">
            <w:pPr>
              <w:keepNext/>
              <w:keepLines/>
              <w:pageBreakBefore/>
              <w:numPr>
                <w:ilvl w:val="0"/>
                <w:numId w:val="2"/>
              </w:numPr>
              <w:tabs>
                <w:tab w:val="clear" w:pos="720"/>
                <w:tab w:val="left" w:pos="360"/>
                <w:tab w:val="left" w:pos="630"/>
              </w:tabs>
              <w:ind w:left="274" w:hanging="274"/>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205A68">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205A68">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205A68">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205A68">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205A68">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205A68">
            <w:pPr>
              <w:keepNext/>
              <w:keepLines/>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205A68">
            <w:pPr>
              <w:keepNext/>
              <w:keepLines/>
              <w:pageBreakBefore/>
              <w:tabs>
                <w:tab w:val="left" w:pos="360"/>
                <w:tab w:val="left" w:pos="630"/>
              </w:tabs>
              <w:rPr>
                <w:rFonts w:ascii="Arial" w:hAnsi="Arial"/>
                <w:sz w:val="10"/>
              </w:rPr>
            </w:pPr>
          </w:p>
        </w:tc>
      </w:tr>
    </w:tbl>
    <w:p w14:paraId="1F6ED755" w14:textId="77777777" w:rsidR="0021563E" w:rsidRPr="00546EF3" w:rsidRDefault="0021563E" w:rsidP="00205A68">
      <w:pPr>
        <w:keepNext/>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rsidP="00205A68">
            <w:pPr>
              <w:keepNext/>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05A68">
            <w:pPr>
              <w:keepNext/>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05A68">
            <w:pPr>
              <w:keepNext/>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05A68">
            <w:pPr>
              <w:keepNext/>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205A68">
            <w:pPr>
              <w:keepNext/>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rsidP="00205A68">
            <w:pPr>
              <w:keepNext/>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205A68">
            <w:pPr>
              <w:keepNext/>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rsidP="00205A68">
            <w:pPr>
              <w:keepNext/>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rsidP="00205A68">
            <w:pPr>
              <w:keepNext/>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916C7">
              <w:rPr>
                <w:rFonts w:ascii="Arial" w:hAnsi="Arial"/>
                <w:sz w:val="18"/>
              </w:rPr>
            </w:r>
            <w:r w:rsidR="00E916C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A7EA" w14:textId="77777777" w:rsidR="00017A46" w:rsidRDefault="00017A46" w:rsidP="007A6FC3">
      <w:r>
        <w:separator/>
      </w:r>
    </w:p>
  </w:endnote>
  <w:endnote w:type="continuationSeparator" w:id="0">
    <w:p w14:paraId="4EE09ABD" w14:textId="77777777" w:rsidR="00017A46" w:rsidRDefault="00017A4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83E6" w14:textId="77777777" w:rsidR="00017A46" w:rsidRDefault="00017A46" w:rsidP="007A6FC3">
      <w:r>
        <w:separator/>
      </w:r>
    </w:p>
  </w:footnote>
  <w:footnote w:type="continuationSeparator" w:id="0">
    <w:p w14:paraId="5C10D5C4" w14:textId="77777777" w:rsidR="00017A46" w:rsidRDefault="00017A4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jJ00lxWKUHJnl/jw7f3TaCawT0mP4bRUxdZE/BC9Jy5OAqeXZeeLyjSXjQbYNzbZduV2dT3Pt6av9vNSS5Oew==" w:salt="zYZHN7d3kwN85VmVW5m/2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33CD"/>
    <w:rsid w:val="00017A46"/>
    <w:rsid w:val="00031FEC"/>
    <w:rsid w:val="00065117"/>
    <w:rsid w:val="00070550"/>
    <w:rsid w:val="00082C72"/>
    <w:rsid w:val="00097390"/>
    <w:rsid w:val="000D55C9"/>
    <w:rsid w:val="00101422"/>
    <w:rsid w:val="0018307F"/>
    <w:rsid w:val="00205A68"/>
    <w:rsid w:val="0021563E"/>
    <w:rsid w:val="00273EE3"/>
    <w:rsid w:val="00295B89"/>
    <w:rsid w:val="002D27D5"/>
    <w:rsid w:val="00311731"/>
    <w:rsid w:val="0031599E"/>
    <w:rsid w:val="003379BD"/>
    <w:rsid w:val="003A15FD"/>
    <w:rsid w:val="003B70D9"/>
    <w:rsid w:val="003D356D"/>
    <w:rsid w:val="003E29B2"/>
    <w:rsid w:val="004553BF"/>
    <w:rsid w:val="0047002C"/>
    <w:rsid w:val="00486915"/>
    <w:rsid w:val="004C2872"/>
    <w:rsid w:val="004D379B"/>
    <w:rsid w:val="005325D4"/>
    <w:rsid w:val="00546EF3"/>
    <w:rsid w:val="005508EB"/>
    <w:rsid w:val="0056414C"/>
    <w:rsid w:val="005A70E2"/>
    <w:rsid w:val="005F3D5E"/>
    <w:rsid w:val="00606B81"/>
    <w:rsid w:val="00615A39"/>
    <w:rsid w:val="00621771"/>
    <w:rsid w:val="0064565E"/>
    <w:rsid w:val="00653309"/>
    <w:rsid w:val="00683097"/>
    <w:rsid w:val="006A6CDD"/>
    <w:rsid w:val="006B7A42"/>
    <w:rsid w:val="0075270A"/>
    <w:rsid w:val="00775C94"/>
    <w:rsid w:val="007A6FC3"/>
    <w:rsid w:val="007F44C1"/>
    <w:rsid w:val="008C4A9D"/>
    <w:rsid w:val="008E0D37"/>
    <w:rsid w:val="008F23E4"/>
    <w:rsid w:val="00916D82"/>
    <w:rsid w:val="00927055"/>
    <w:rsid w:val="00934FD5"/>
    <w:rsid w:val="00A05C70"/>
    <w:rsid w:val="00A60207"/>
    <w:rsid w:val="00AA7ED4"/>
    <w:rsid w:val="00AB1650"/>
    <w:rsid w:val="00B23CEC"/>
    <w:rsid w:val="00B47C64"/>
    <w:rsid w:val="00B82162"/>
    <w:rsid w:val="00B83999"/>
    <w:rsid w:val="00CA71B6"/>
    <w:rsid w:val="00CA7C90"/>
    <w:rsid w:val="00CC7A80"/>
    <w:rsid w:val="00DF0FF9"/>
    <w:rsid w:val="00E003E2"/>
    <w:rsid w:val="00E02750"/>
    <w:rsid w:val="00E3591E"/>
    <w:rsid w:val="00E7205C"/>
    <w:rsid w:val="00E916C7"/>
    <w:rsid w:val="00EA1297"/>
    <w:rsid w:val="00EE5A08"/>
    <w:rsid w:val="00EF5F71"/>
    <w:rsid w:val="00F55DC4"/>
    <w:rsid w:val="00F779AC"/>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7</cp:revision>
  <cp:lastPrinted>2008-02-05T17:04:00Z</cp:lastPrinted>
  <dcterms:created xsi:type="dcterms:W3CDTF">2024-11-18T21:29:00Z</dcterms:created>
  <dcterms:modified xsi:type="dcterms:W3CDTF">2024-11-26T22:39:00Z</dcterms:modified>
</cp:coreProperties>
</file>