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2321EC0" w14:textId="77777777">
        <w:tc>
          <w:tcPr>
            <w:tcW w:w="5868" w:type="dxa"/>
            <w:tcBorders>
              <w:top w:val="nil"/>
              <w:left w:val="nil"/>
              <w:bottom w:val="nil"/>
              <w:right w:val="nil"/>
            </w:tcBorders>
          </w:tcPr>
          <w:p w14:paraId="6BD68E22" w14:textId="77777777" w:rsidR="003379BD" w:rsidRPr="004553BF" w:rsidRDefault="003379BD">
            <w:pPr>
              <w:pStyle w:val="Heading1"/>
            </w:pPr>
            <w:r w:rsidRPr="004553BF">
              <w:t>DEPARTMENT OF HEALTH SERVICES</w:t>
            </w:r>
          </w:p>
          <w:p w14:paraId="2117AF01"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24A18E8F" w14:textId="699E5623"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726200">
              <w:rPr>
                <w:rFonts w:ascii="Arial" w:hAnsi="Arial"/>
                <w:sz w:val="18"/>
              </w:rPr>
              <w:t>5</w:t>
            </w:r>
            <w:r w:rsidR="00017A46">
              <w:rPr>
                <w:rFonts w:ascii="Arial" w:hAnsi="Arial"/>
                <w:sz w:val="18"/>
              </w:rPr>
              <w:t>/20</w:t>
            </w:r>
            <w:r w:rsidR="00726200">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4E6CB94"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51CDF7C" w14:textId="77777777" w:rsidR="003379BD" w:rsidRPr="004553BF" w:rsidRDefault="003379BD">
            <w:pPr>
              <w:jc w:val="right"/>
              <w:rPr>
                <w:rFonts w:ascii="Arial" w:hAnsi="Arial"/>
                <w:sz w:val="18"/>
              </w:rPr>
            </w:pPr>
            <w:r w:rsidRPr="004553BF">
              <w:rPr>
                <w:rFonts w:ascii="Arial" w:hAnsi="Arial"/>
                <w:sz w:val="18"/>
              </w:rPr>
              <w:t>42 CFR483.420(a)(2)</w:t>
            </w:r>
          </w:p>
          <w:p w14:paraId="3FB64F0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0033F4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79F37F3"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7D26B70" w14:textId="77777777" w:rsidR="0056414C" w:rsidRDefault="0056414C">
      <w:pPr>
        <w:pStyle w:val="Heading3"/>
        <w:sectPr w:rsidR="0056414C" w:rsidSect="0021563E">
          <w:footerReference w:type="even" r:id="rId8"/>
          <w:footerReference w:type="default" r:id="rId9"/>
          <w:footerReference w:type="first" r:id="rId10"/>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8E19FA7" w14:textId="77777777" w:rsidTr="00DA1BC9">
        <w:trPr>
          <w:cantSplit/>
        </w:trPr>
        <w:tc>
          <w:tcPr>
            <w:tcW w:w="11448" w:type="dxa"/>
            <w:gridSpan w:val="10"/>
            <w:tcBorders>
              <w:top w:val="nil"/>
              <w:left w:val="nil"/>
              <w:bottom w:val="single" w:sz="4" w:space="0" w:color="auto"/>
              <w:right w:val="nil"/>
            </w:tcBorders>
          </w:tcPr>
          <w:p w14:paraId="5E7090A9" w14:textId="77777777" w:rsidR="003379BD" w:rsidRDefault="003379BD" w:rsidP="0031599E">
            <w:pPr>
              <w:pStyle w:val="Heading3"/>
            </w:pPr>
            <w:r>
              <w:t>INFORMED CONSENT FOR MEDICATION</w:t>
            </w:r>
          </w:p>
          <w:p w14:paraId="1F6A8FAB" w14:textId="77777777" w:rsidR="00464819" w:rsidRDefault="00464819" w:rsidP="00464819">
            <w:pPr>
              <w:pStyle w:val="Heading4"/>
            </w:pPr>
            <w:r>
              <w:t xml:space="preserve">Dosage and / or Side Effect information last revised on </w:t>
            </w:r>
            <w:r w:rsidR="00A57B42">
              <w:rPr>
                <w:noProof/>
              </w:rPr>
              <w:t>03/13/2017</w:t>
            </w:r>
          </w:p>
          <w:p w14:paraId="561658A7" w14:textId="7E9FC34C"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726200">
              <w:rPr>
                <w:rFonts w:ascii="Arial" w:hAnsi="Arial"/>
                <w:sz w:val="18"/>
              </w:rPr>
              <w:t>informed consent is not given</w:t>
            </w:r>
            <w:r>
              <w:rPr>
                <w:rFonts w:ascii="Arial" w:hAnsi="Arial"/>
                <w:sz w:val="18"/>
              </w:rPr>
              <w:t>, the medication cannot be administered without a court order unless in an emergency.</w:t>
            </w:r>
          </w:p>
          <w:p w14:paraId="3253EE16"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C7E9FED" w14:textId="77777777" w:rsidTr="00DA1BC9">
        <w:trPr>
          <w:trHeight w:hRule="exact" w:val="480"/>
        </w:trPr>
        <w:tc>
          <w:tcPr>
            <w:tcW w:w="5868" w:type="dxa"/>
            <w:gridSpan w:val="5"/>
            <w:tcBorders>
              <w:top w:val="single" w:sz="4" w:space="0" w:color="auto"/>
              <w:left w:val="nil"/>
              <w:bottom w:val="single" w:sz="4" w:space="0" w:color="auto"/>
            </w:tcBorders>
          </w:tcPr>
          <w:p w14:paraId="62B6A574" w14:textId="77777777" w:rsidR="003379BD" w:rsidRDefault="003379BD">
            <w:pPr>
              <w:rPr>
                <w:rFonts w:ascii="Arial" w:hAnsi="Arial"/>
                <w:sz w:val="18"/>
              </w:rPr>
            </w:pPr>
            <w:r>
              <w:rPr>
                <w:rFonts w:ascii="Arial" w:hAnsi="Arial"/>
                <w:sz w:val="18"/>
              </w:rPr>
              <w:t>Name – Patient / Client (Last, First MI)</w:t>
            </w:r>
          </w:p>
          <w:p w14:paraId="13F6408A"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916A919" w14:textId="77777777" w:rsidR="003379BD" w:rsidRDefault="003379BD">
            <w:pPr>
              <w:rPr>
                <w:rFonts w:ascii="Arial" w:hAnsi="Arial"/>
                <w:sz w:val="18"/>
              </w:rPr>
            </w:pPr>
            <w:r>
              <w:rPr>
                <w:rFonts w:ascii="Arial" w:hAnsi="Arial"/>
                <w:sz w:val="18"/>
              </w:rPr>
              <w:t>ID Number</w:t>
            </w:r>
          </w:p>
          <w:p w14:paraId="2562226A"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40CEF96D" w14:textId="77777777" w:rsidR="003379BD" w:rsidRDefault="003379BD">
            <w:pPr>
              <w:rPr>
                <w:rFonts w:ascii="Arial" w:hAnsi="Arial"/>
                <w:sz w:val="18"/>
              </w:rPr>
            </w:pPr>
            <w:r>
              <w:rPr>
                <w:rFonts w:ascii="Arial" w:hAnsi="Arial"/>
                <w:sz w:val="18"/>
              </w:rPr>
              <w:t>Living Unit</w:t>
            </w:r>
          </w:p>
          <w:p w14:paraId="5F4397EC"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F2823F5" w14:textId="77777777" w:rsidR="003379BD" w:rsidRDefault="006B7A42">
            <w:pPr>
              <w:rPr>
                <w:rFonts w:ascii="Arial" w:hAnsi="Arial"/>
                <w:sz w:val="18"/>
              </w:rPr>
            </w:pPr>
            <w:r>
              <w:rPr>
                <w:rFonts w:ascii="Arial" w:hAnsi="Arial"/>
                <w:sz w:val="18"/>
              </w:rPr>
              <w:t>Date of Birth</w:t>
            </w:r>
          </w:p>
          <w:p w14:paraId="01F84513"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171E18E6" w14:textId="77777777" w:rsidTr="00DA1BC9">
        <w:trPr>
          <w:cantSplit/>
        </w:trPr>
        <w:tc>
          <w:tcPr>
            <w:tcW w:w="4338" w:type="dxa"/>
            <w:gridSpan w:val="3"/>
            <w:tcBorders>
              <w:top w:val="single" w:sz="4" w:space="0" w:color="auto"/>
              <w:left w:val="nil"/>
              <w:bottom w:val="single" w:sz="4" w:space="0" w:color="auto"/>
            </w:tcBorders>
          </w:tcPr>
          <w:p w14:paraId="10CA1F85" w14:textId="77777777" w:rsidR="003379BD" w:rsidRDefault="003379BD">
            <w:pPr>
              <w:rPr>
                <w:rFonts w:ascii="Arial" w:hAnsi="Arial"/>
                <w:sz w:val="18"/>
              </w:rPr>
            </w:pPr>
            <w:r>
              <w:rPr>
                <w:rFonts w:ascii="Arial" w:hAnsi="Arial"/>
                <w:sz w:val="18"/>
              </w:rPr>
              <w:t>Name – Individual Preparing This Form</w:t>
            </w:r>
          </w:p>
          <w:p w14:paraId="3527E252"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62235AF" w14:textId="77777777" w:rsidR="003379BD" w:rsidRDefault="003379BD">
            <w:pPr>
              <w:rPr>
                <w:rFonts w:ascii="Arial" w:hAnsi="Arial"/>
                <w:sz w:val="18"/>
              </w:rPr>
            </w:pPr>
            <w:r>
              <w:rPr>
                <w:rFonts w:ascii="Arial" w:hAnsi="Arial"/>
                <w:sz w:val="18"/>
              </w:rPr>
              <w:t>Name – Staff Contact</w:t>
            </w:r>
          </w:p>
          <w:p w14:paraId="797268DE"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52DF4E0" w14:textId="77777777" w:rsidR="003379BD" w:rsidRDefault="003379BD">
            <w:pPr>
              <w:rPr>
                <w:rFonts w:ascii="Arial" w:hAnsi="Arial"/>
                <w:sz w:val="18"/>
              </w:rPr>
            </w:pPr>
            <w:r>
              <w:rPr>
                <w:rFonts w:ascii="Arial" w:hAnsi="Arial"/>
                <w:sz w:val="18"/>
              </w:rPr>
              <w:t>Name / Telephone Number – Institution</w:t>
            </w:r>
          </w:p>
          <w:p w14:paraId="3F180254"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6F933724" w14:textId="77777777" w:rsidTr="00DA1BC9">
        <w:trPr>
          <w:cantSplit/>
        </w:trPr>
        <w:tc>
          <w:tcPr>
            <w:tcW w:w="3168" w:type="dxa"/>
            <w:tcBorders>
              <w:top w:val="single" w:sz="4" w:space="0" w:color="auto"/>
              <w:left w:val="nil"/>
              <w:bottom w:val="nil"/>
            </w:tcBorders>
            <w:vAlign w:val="center"/>
          </w:tcPr>
          <w:p w14:paraId="78ADF4DC"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44979CCC"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07672823" w14:textId="77777777" w:rsidR="003379BD" w:rsidRDefault="003379BD" w:rsidP="00DF0FF9">
            <w:pPr>
              <w:pStyle w:val="Heading4"/>
              <w:spacing w:before="0"/>
            </w:pPr>
            <w:r>
              <w:t>RECOMMENDED</w:t>
            </w:r>
          </w:p>
          <w:p w14:paraId="1B7B7B04"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B2B1A0C" w14:textId="77777777" w:rsidR="003379BD" w:rsidRDefault="003379BD" w:rsidP="00DF0FF9">
            <w:pPr>
              <w:pStyle w:val="Heading4"/>
              <w:spacing w:before="0"/>
              <w:rPr>
                <w:b w:val="0"/>
              </w:rPr>
            </w:pPr>
            <w:r>
              <w:t>ANTICIPATED</w:t>
            </w:r>
            <w:r w:rsidR="00DF0FF9">
              <w:t xml:space="preserve"> </w:t>
            </w:r>
            <w:r>
              <w:t>DOSAGE RANGE</w:t>
            </w:r>
          </w:p>
        </w:tc>
      </w:tr>
      <w:tr w:rsidR="003379BD" w14:paraId="540666A1" w14:textId="77777777" w:rsidTr="00DA1BC9">
        <w:trPr>
          <w:cantSplit/>
        </w:trPr>
        <w:tc>
          <w:tcPr>
            <w:tcW w:w="3168" w:type="dxa"/>
            <w:tcBorders>
              <w:top w:val="single" w:sz="4" w:space="0" w:color="auto"/>
              <w:left w:val="nil"/>
              <w:bottom w:val="single" w:sz="4" w:space="0" w:color="auto"/>
            </w:tcBorders>
            <w:vAlign w:val="center"/>
          </w:tcPr>
          <w:p w14:paraId="7DB758C9" w14:textId="77777777" w:rsidR="003379BD" w:rsidRPr="00BD1B3D" w:rsidRDefault="00A57B42" w:rsidP="006B7A42">
            <w:pPr>
              <w:rPr>
                <w:sz w:val="22"/>
                <w:highlight w:val="yellow"/>
              </w:rPr>
            </w:pPr>
            <w:r w:rsidRPr="00A57B42">
              <w:rPr>
                <w:sz w:val="22"/>
              </w:rPr>
              <w:t>Antipsychotic, Antidepressant, Bipolar, Mood stabilizing Agent</w:t>
            </w:r>
          </w:p>
        </w:tc>
        <w:tc>
          <w:tcPr>
            <w:tcW w:w="3420" w:type="dxa"/>
            <w:gridSpan w:val="5"/>
            <w:tcBorders>
              <w:top w:val="single" w:sz="4" w:space="0" w:color="auto"/>
              <w:bottom w:val="single" w:sz="4" w:space="0" w:color="auto"/>
              <w:right w:val="nil"/>
            </w:tcBorders>
          </w:tcPr>
          <w:p w14:paraId="7DD608D5" w14:textId="77777777" w:rsidR="003379BD" w:rsidRPr="00571CDD" w:rsidRDefault="00571CDD">
            <w:pPr>
              <w:tabs>
                <w:tab w:val="left" w:pos="702"/>
                <w:tab w:val="left" w:pos="882"/>
                <w:tab w:val="left" w:pos="1152"/>
                <w:tab w:val="left" w:pos="1602"/>
              </w:tabs>
              <w:rPr>
                <w:sz w:val="22"/>
              </w:rPr>
            </w:pPr>
            <w:r w:rsidRPr="00571CDD">
              <w:rPr>
                <w:sz w:val="22"/>
              </w:rPr>
              <w:t>Nuedexta</w:t>
            </w:r>
          </w:p>
          <w:p w14:paraId="171DD04A" w14:textId="77777777" w:rsidR="003379BD" w:rsidRPr="00BD1B3D" w:rsidRDefault="003379BD" w:rsidP="00571CDD">
            <w:pPr>
              <w:tabs>
                <w:tab w:val="left" w:pos="702"/>
                <w:tab w:val="left" w:pos="882"/>
                <w:tab w:val="left" w:pos="1152"/>
                <w:tab w:val="left" w:pos="1602"/>
              </w:tabs>
              <w:rPr>
                <w:sz w:val="22"/>
                <w:highlight w:val="yellow"/>
              </w:rPr>
            </w:pPr>
            <w:r w:rsidRPr="00571CDD">
              <w:rPr>
                <w:sz w:val="22"/>
              </w:rPr>
              <w:t>(</w:t>
            </w:r>
            <w:r w:rsidR="00571CDD" w:rsidRPr="00571CDD">
              <w:rPr>
                <w:sz w:val="22"/>
              </w:rPr>
              <w:t>dextromethorphan hydrobromide/quinidine sulfate</w:t>
            </w:r>
            <w:r w:rsidR="00366B54">
              <w:rPr>
                <w:sz w:val="22"/>
              </w:rPr>
              <w:t>)</w:t>
            </w:r>
          </w:p>
        </w:tc>
        <w:tc>
          <w:tcPr>
            <w:tcW w:w="3420" w:type="dxa"/>
            <w:gridSpan w:val="3"/>
            <w:tcBorders>
              <w:top w:val="single" w:sz="4" w:space="0" w:color="auto"/>
              <w:bottom w:val="single" w:sz="4" w:space="0" w:color="auto"/>
              <w:right w:val="nil"/>
            </w:tcBorders>
            <w:vAlign w:val="center"/>
          </w:tcPr>
          <w:p w14:paraId="6DCC5290" w14:textId="77777777" w:rsidR="003379BD" w:rsidRPr="00BD1B3D" w:rsidRDefault="00571CDD">
            <w:pPr>
              <w:tabs>
                <w:tab w:val="left" w:pos="702"/>
                <w:tab w:val="left" w:pos="882"/>
                <w:tab w:val="left" w:pos="1152"/>
                <w:tab w:val="left" w:pos="1602"/>
              </w:tabs>
              <w:rPr>
                <w:sz w:val="22"/>
                <w:highlight w:val="yellow"/>
              </w:rPr>
            </w:pPr>
            <w:r w:rsidRPr="00571CDD">
              <w:rPr>
                <w:sz w:val="22"/>
              </w:rPr>
              <w:t>Dextromethorphan 20 mg/quinidine 10 mg daily x 7 days, then twice daily thereafter</w:t>
            </w:r>
          </w:p>
        </w:tc>
        <w:tc>
          <w:tcPr>
            <w:tcW w:w="1440" w:type="dxa"/>
            <w:tcBorders>
              <w:top w:val="single" w:sz="4" w:space="0" w:color="auto"/>
              <w:bottom w:val="single" w:sz="4" w:space="0" w:color="auto"/>
              <w:right w:val="nil"/>
            </w:tcBorders>
            <w:vAlign w:val="center"/>
          </w:tcPr>
          <w:p w14:paraId="52885A8B" w14:textId="77777777" w:rsidR="003379BD" w:rsidRDefault="00B1786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3CD239E8" w14:textId="77777777" w:rsidTr="00DA1BC9">
        <w:trPr>
          <w:cantSplit/>
          <w:trHeight w:hRule="exact" w:val="1063"/>
        </w:trPr>
        <w:tc>
          <w:tcPr>
            <w:tcW w:w="11448" w:type="dxa"/>
            <w:gridSpan w:val="10"/>
            <w:tcBorders>
              <w:top w:val="nil"/>
              <w:left w:val="nil"/>
              <w:bottom w:val="single" w:sz="4" w:space="0" w:color="auto"/>
              <w:right w:val="nil"/>
            </w:tcBorders>
          </w:tcPr>
          <w:p w14:paraId="149C0A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413A6D37"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97C9E4F"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3A129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3A129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3A129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06383D7E" w14:textId="77777777" w:rsidTr="00DA1BC9">
        <w:trPr>
          <w:cantSplit/>
          <w:trHeight w:hRule="exact" w:val="600"/>
        </w:trPr>
        <w:tc>
          <w:tcPr>
            <w:tcW w:w="11448" w:type="dxa"/>
            <w:gridSpan w:val="10"/>
            <w:tcBorders>
              <w:top w:val="single" w:sz="4" w:space="0" w:color="auto"/>
              <w:left w:val="nil"/>
              <w:bottom w:val="nil"/>
              <w:right w:val="nil"/>
            </w:tcBorders>
          </w:tcPr>
          <w:p w14:paraId="680440D6" w14:textId="28E4F436"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726200">
              <w:rPr>
                <w:b w:val="0"/>
              </w:rPr>
              <w:t>impression (</w:t>
            </w:r>
            <w:r w:rsidRPr="00097390">
              <w:rPr>
                <w:b w:val="0"/>
              </w:rPr>
              <w:t>“working hypothesis</w:t>
            </w:r>
            <w:r w:rsidR="0031599E" w:rsidRPr="00097390">
              <w:rPr>
                <w:b w:val="0"/>
              </w:rPr>
              <w:t>.”</w:t>
            </w:r>
            <w:r w:rsidR="00726200">
              <w:rPr>
                <w:b w:val="0"/>
              </w:rPr>
              <w:t>)</w:t>
            </w:r>
          </w:p>
        </w:tc>
      </w:tr>
      <w:tr w:rsidR="003379BD" w14:paraId="1103A1BC" w14:textId="77777777" w:rsidTr="00726200">
        <w:trPr>
          <w:cantSplit/>
          <w:trHeight w:val="936"/>
        </w:trPr>
        <w:tc>
          <w:tcPr>
            <w:tcW w:w="11448" w:type="dxa"/>
            <w:gridSpan w:val="10"/>
            <w:tcBorders>
              <w:top w:val="nil"/>
              <w:left w:val="nil"/>
              <w:bottom w:val="single" w:sz="4" w:space="0" w:color="auto"/>
              <w:right w:val="nil"/>
            </w:tcBorders>
          </w:tcPr>
          <w:p w14:paraId="369BC5E5"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3301E789" w14:textId="77777777" w:rsidTr="00DA1BC9">
        <w:trPr>
          <w:cantSplit/>
          <w:trHeight w:val="240"/>
        </w:trPr>
        <w:tc>
          <w:tcPr>
            <w:tcW w:w="11448" w:type="dxa"/>
            <w:gridSpan w:val="10"/>
            <w:tcBorders>
              <w:top w:val="single" w:sz="4" w:space="0" w:color="auto"/>
              <w:left w:val="nil"/>
              <w:bottom w:val="nil"/>
              <w:right w:val="nil"/>
            </w:tcBorders>
          </w:tcPr>
          <w:p w14:paraId="53605DF8"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D212C3F" w14:textId="77777777" w:rsidTr="00DA1BC9">
        <w:trPr>
          <w:cantSplit/>
          <w:trHeight w:val="240"/>
        </w:trPr>
        <w:tc>
          <w:tcPr>
            <w:tcW w:w="5724" w:type="dxa"/>
            <w:gridSpan w:val="4"/>
            <w:tcBorders>
              <w:top w:val="nil"/>
              <w:left w:val="nil"/>
              <w:bottom w:val="nil"/>
              <w:right w:val="nil"/>
            </w:tcBorders>
            <w:vAlign w:val="center"/>
          </w:tcPr>
          <w:p w14:paraId="6B1C309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3380BEB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7797229" w14:textId="77777777" w:rsidTr="00DA1BC9">
        <w:trPr>
          <w:cantSplit/>
          <w:trHeight w:val="240"/>
        </w:trPr>
        <w:tc>
          <w:tcPr>
            <w:tcW w:w="5724" w:type="dxa"/>
            <w:gridSpan w:val="4"/>
            <w:tcBorders>
              <w:top w:val="nil"/>
              <w:left w:val="nil"/>
              <w:bottom w:val="nil"/>
              <w:right w:val="nil"/>
            </w:tcBorders>
            <w:vAlign w:val="center"/>
          </w:tcPr>
          <w:p w14:paraId="2CAB6ED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47C6FA3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74088E3" w14:textId="77777777" w:rsidTr="00DA1BC9">
        <w:trPr>
          <w:cantSplit/>
          <w:trHeight w:val="240"/>
        </w:trPr>
        <w:tc>
          <w:tcPr>
            <w:tcW w:w="5724" w:type="dxa"/>
            <w:gridSpan w:val="4"/>
            <w:tcBorders>
              <w:top w:val="nil"/>
              <w:left w:val="nil"/>
              <w:bottom w:val="nil"/>
              <w:right w:val="nil"/>
            </w:tcBorders>
            <w:vAlign w:val="center"/>
          </w:tcPr>
          <w:p w14:paraId="491D5D7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698995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59BC42D5" w14:textId="77777777" w:rsidTr="00726200">
        <w:trPr>
          <w:cantSplit/>
          <w:trHeight w:val="936"/>
        </w:trPr>
        <w:tc>
          <w:tcPr>
            <w:tcW w:w="11448" w:type="dxa"/>
            <w:gridSpan w:val="10"/>
            <w:tcBorders>
              <w:top w:val="nil"/>
              <w:left w:val="nil"/>
              <w:bottom w:val="nil"/>
              <w:right w:val="nil"/>
            </w:tcBorders>
          </w:tcPr>
          <w:p w14:paraId="71D028DB"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50514B4E" w14:textId="77777777" w:rsidTr="00DA1BC9">
        <w:trPr>
          <w:cantSplit/>
          <w:trHeight w:hRule="exact" w:val="68"/>
        </w:trPr>
        <w:tc>
          <w:tcPr>
            <w:tcW w:w="11448" w:type="dxa"/>
            <w:gridSpan w:val="10"/>
            <w:tcBorders>
              <w:top w:val="nil"/>
              <w:left w:val="nil"/>
              <w:bottom w:val="single" w:sz="4" w:space="0" w:color="auto"/>
              <w:right w:val="nil"/>
            </w:tcBorders>
          </w:tcPr>
          <w:p w14:paraId="265CC72A" w14:textId="77777777" w:rsidR="003379BD" w:rsidRDefault="003379BD">
            <w:pPr>
              <w:pStyle w:val="Heading4"/>
              <w:tabs>
                <w:tab w:val="left" w:pos="540"/>
              </w:tabs>
              <w:spacing w:before="0"/>
              <w:jc w:val="left"/>
            </w:pPr>
          </w:p>
        </w:tc>
      </w:tr>
      <w:tr w:rsidR="003379BD" w14:paraId="2421ED30" w14:textId="77777777" w:rsidTr="00DA1BC9">
        <w:trPr>
          <w:cantSplit/>
          <w:trHeight w:hRule="exact" w:val="240"/>
        </w:trPr>
        <w:tc>
          <w:tcPr>
            <w:tcW w:w="11448" w:type="dxa"/>
            <w:gridSpan w:val="10"/>
            <w:tcBorders>
              <w:top w:val="nil"/>
              <w:left w:val="nil"/>
              <w:bottom w:val="nil"/>
              <w:right w:val="nil"/>
            </w:tcBorders>
          </w:tcPr>
          <w:p w14:paraId="59C2E040"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70BBED9" w14:textId="77777777" w:rsidTr="00DA1BC9">
        <w:trPr>
          <w:cantSplit/>
          <w:trHeight w:val="288"/>
        </w:trPr>
        <w:tc>
          <w:tcPr>
            <w:tcW w:w="3816" w:type="dxa"/>
            <w:gridSpan w:val="2"/>
            <w:tcBorders>
              <w:top w:val="nil"/>
              <w:left w:val="nil"/>
              <w:bottom w:val="nil"/>
              <w:right w:val="nil"/>
            </w:tcBorders>
            <w:vAlign w:val="center"/>
          </w:tcPr>
          <w:p w14:paraId="44952088"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3A1290">
              <w:rPr>
                <w:b w:val="0"/>
              </w:rPr>
            </w:r>
            <w:r w:rsidR="003A129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80DCFEF"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3A1290">
              <w:rPr>
                <w:b w:val="0"/>
              </w:rPr>
            </w:r>
            <w:r w:rsidR="003A129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4EEC51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3A1290">
              <w:rPr>
                <w:b w:val="0"/>
              </w:rPr>
            </w:r>
            <w:r w:rsidR="003A1290">
              <w:rPr>
                <w:b w:val="0"/>
              </w:rPr>
              <w:fldChar w:fldCharType="separate"/>
            </w:r>
            <w:r>
              <w:rPr>
                <w:b w:val="0"/>
              </w:rPr>
              <w:fldChar w:fldCharType="end"/>
            </w:r>
            <w:bookmarkEnd w:id="19"/>
            <w:r>
              <w:rPr>
                <w:b w:val="0"/>
              </w:rPr>
              <w:t xml:space="preserve"> Social Functioning</w:t>
            </w:r>
          </w:p>
        </w:tc>
      </w:tr>
      <w:tr w:rsidR="003379BD" w14:paraId="59CE4A26" w14:textId="77777777" w:rsidTr="00DA1BC9">
        <w:trPr>
          <w:cantSplit/>
          <w:trHeight w:val="240"/>
        </w:trPr>
        <w:tc>
          <w:tcPr>
            <w:tcW w:w="3816" w:type="dxa"/>
            <w:gridSpan w:val="2"/>
            <w:tcBorders>
              <w:top w:val="nil"/>
              <w:left w:val="nil"/>
              <w:bottom w:val="nil"/>
              <w:right w:val="nil"/>
            </w:tcBorders>
          </w:tcPr>
          <w:p w14:paraId="28A56D3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D5B9D69"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EB2BB74" w14:textId="77777777" w:rsidR="003379BD" w:rsidRDefault="003379BD">
            <w:pPr>
              <w:pStyle w:val="Heading4"/>
              <w:tabs>
                <w:tab w:val="left" w:pos="540"/>
              </w:tabs>
              <w:jc w:val="left"/>
              <w:rPr>
                <w:b w:val="0"/>
              </w:rPr>
            </w:pPr>
          </w:p>
        </w:tc>
      </w:tr>
      <w:tr w:rsidR="003379BD" w14:paraId="23F1E8BF" w14:textId="77777777" w:rsidTr="00DA1BC9">
        <w:trPr>
          <w:cantSplit/>
          <w:trHeight w:val="192"/>
        </w:trPr>
        <w:tc>
          <w:tcPr>
            <w:tcW w:w="5724" w:type="dxa"/>
            <w:gridSpan w:val="4"/>
            <w:tcBorders>
              <w:top w:val="nil"/>
              <w:left w:val="nil"/>
              <w:bottom w:val="nil"/>
              <w:right w:val="nil"/>
            </w:tcBorders>
          </w:tcPr>
          <w:p w14:paraId="59FF7B21"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9238D56" w14:textId="77777777" w:rsidR="003379BD" w:rsidRDefault="003379BD">
            <w:pPr>
              <w:pStyle w:val="Heading4"/>
              <w:tabs>
                <w:tab w:val="left" w:pos="540"/>
              </w:tabs>
              <w:jc w:val="left"/>
              <w:rPr>
                <w:b w:val="0"/>
              </w:rPr>
            </w:pPr>
          </w:p>
        </w:tc>
      </w:tr>
      <w:bookmarkStart w:id="20" w:name="_Hlk151783589"/>
      <w:tr w:rsidR="003379BD" w14:paraId="1666ADEC" w14:textId="77777777" w:rsidTr="00DA1BC9">
        <w:trPr>
          <w:cantSplit/>
          <w:trHeight w:val="192"/>
        </w:trPr>
        <w:tc>
          <w:tcPr>
            <w:tcW w:w="5724" w:type="dxa"/>
            <w:gridSpan w:val="4"/>
            <w:tcBorders>
              <w:top w:val="nil"/>
              <w:left w:val="nil"/>
              <w:bottom w:val="nil"/>
              <w:right w:val="nil"/>
            </w:tcBorders>
            <w:vAlign w:val="center"/>
          </w:tcPr>
          <w:p w14:paraId="127AAC53"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3A1290">
              <w:rPr>
                <w:b w:val="0"/>
              </w:rPr>
            </w:r>
            <w:r w:rsidR="003A1290">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731A3D4"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3A1290">
              <w:rPr>
                <w:b w:val="0"/>
              </w:rPr>
            </w:r>
            <w:r w:rsidR="003A129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E084CE" w14:textId="77777777" w:rsidTr="00DA1BC9">
        <w:trPr>
          <w:cantSplit/>
          <w:trHeight w:val="192"/>
        </w:trPr>
        <w:tc>
          <w:tcPr>
            <w:tcW w:w="5724" w:type="dxa"/>
            <w:gridSpan w:val="4"/>
            <w:tcBorders>
              <w:top w:val="nil"/>
              <w:left w:val="nil"/>
              <w:bottom w:val="nil"/>
              <w:right w:val="nil"/>
            </w:tcBorders>
            <w:vAlign w:val="center"/>
          </w:tcPr>
          <w:p w14:paraId="7C2AE928"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3A1290">
              <w:rPr>
                <w:b w:val="0"/>
              </w:rPr>
            </w:r>
            <w:r w:rsidR="003A1290">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153FAD1A"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3A1290">
              <w:rPr>
                <w:b w:val="0"/>
              </w:rPr>
            </w:r>
            <w:r w:rsidR="003A1290">
              <w:rPr>
                <w:b w:val="0"/>
              </w:rPr>
              <w:fldChar w:fldCharType="separate"/>
            </w:r>
            <w:r>
              <w:rPr>
                <w:b w:val="0"/>
              </w:rPr>
              <w:fldChar w:fldCharType="end"/>
            </w:r>
            <w:bookmarkEnd w:id="24"/>
            <w:r>
              <w:rPr>
                <w:b w:val="0"/>
              </w:rPr>
              <w:t xml:space="preserve"> Intervention of law enforcement authorities</w:t>
            </w:r>
          </w:p>
        </w:tc>
      </w:tr>
      <w:tr w:rsidR="003379BD" w14:paraId="4632C84E" w14:textId="77777777" w:rsidTr="00DA1BC9">
        <w:trPr>
          <w:cantSplit/>
          <w:trHeight w:val="192"/>
        </w:trPr>
        <w:tc>
          <w:tcPr>
            <w:tcW w:w="5724" w:type="dxa"/>
            <w:gridSpan w:val="4"/>
            <w:tcBorders>
              <w:top w:val="nil"/>
              <w:left w:val="nil"/>
              <w:bottom w:val="nil"/>
              <w:right w:val="nil"/>
            </w:tcBorders>
            <w:vAlign w:val="center"/>
          </w:tcPr>
          <w:p w14:paraId="2E539BD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3A1290">
              <w:rPr>
                <w:b w:val="0"/>
              </w:rPr>
            </w:r>
            <w:r w:rsidR="003A1290">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588D779E"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3A1290">
              <w:rPr>
                <w:b w:val="0"/>
              </w:rPr>
            </w:r>
            <w:r w:rsidR="003A1290">
              <w:rPr>
                <w:b w:val="0"/>
              </w:rPr>
              <w:fldChar w:fldCharType="separate"/>
            </w:r>
            <w:r>
              <w:rPr>
                <w:b w:val="0"/>
              </w:rPr>
              <w:fldChar w:fldCharType="end"/>
            </w:r>
            <w:bookmarkEnd w:id="26"/>
            <w:r>
              <w:rPr>
                <w:b w:val="0"/>
              </w:rPr>
              <w:t xml:space="preserve"> Risk of harm to self or others</w:t>
            </w:r>
          </w:p>
        </w:tc>
      </w:tr>
      <w:tr w:rsidR="003379BD" w14:paraId="5C570F37" w14:textId="77777777" w:rsidTr="00DA1BC9">
        <w:trPr>
          <w:cantSplit/>
          <w:trHeight w:val="192"/>
        </w:trPr>
        <w:tc>
          <w:tcPr>
            <w:tcW w:w="5724" w:type="dxa"/>
            <w:gridSpan w:val="4"/>
            <w:tcBorders>
              <w:top w:val="nil"/>
              <w:left w:val="nil"/>
              <w:bottom w:val="nil"/>
              <w:right w:val="nil"/>
            </w:tcBorders>
            <w:vAlign w:val="center"/>
          </w:tcPr>
          <w:p w14:paraId="253B455C"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3A1290">
              <w:rPr>
                <w:b w:val="0"/>
              </w:rPr>
            </w:r>
            <w:r w:rsidR="003A129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DE098E9" w14:textId="77777777" w:rsidR="003379BD" w:rsidRDefault="003379BD">
            <w:pPr>
              <w:pStyle w:val="Heading4"/>
              <w:tabs>
                <w:tab w:val="left" w:pos="540"/>
              </w:tabs>
              <w:spacing w:before="0"/>
              <w:jc w:val="left"/>
              <w:rPr>
                <w:b w:val="0"/>
              </w:rPr>
            </w:pPr>
          </w:p>
        </w:tc>
      </w:tr>
      <w:bookmarkEnd w:id="20"/>
      <w:tr w:rsidR="003379BD" w14:paraId="0BD29EC6" w14:textId="77777777" w:rsidTr="00726200">
        <w:trPr>
          <w:cantSplit/>
          <w:trHeight w:val="936"/>
        </w:trPr>
        <w:tc>
          <w:tcPr>
            <w:tcW w:w="11448" w:type="dxa"/>
            <w:gridSpan w:val="10"/>
            <w:tcBorders>
              <w:top w:val="nil"/>
              <w:left w:val="nil"/>
              <w:bottom w:val="single" w:sz="4" w:space="0" w:color="auto"/>
              <w:right w:val="nil"/>
            </w:tcBorders>
          </w:tcPr>
          <w:p w14:paraId="12EF927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6CCCF662" w14:textId="77777777" w:rsidTr="00DA1BC9">
        <w:trPr>
          <w:cantSplit/>
          <w:trHeight w:hRule="exact" w:val="440"/>
        </w:trPr>
        <w:tc>
          <w:tcPr>
            <w:tcW w:w="11448" w:type="dxa"/>
            <w:gridSpan w:val="10"/>
            <w:tcBorders>
              <w:top w:val="single" w:sz="4" w:space="0" w:color="auto"/>
              <w:left w:val="nil"/>
              <w:bottom w:val="single" w:sz="4" w:space="0" w:color="auto"/>
              <w:right w:val="nil"/>
            </w:tcBorders>
          </w:tcPr>
          <w:p w14:paraId="2A21C69B"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E14F1C9" w14:textId="77777777" w:rsidR="003379BD" w:rsidRDefault="00464819">
      <w:pPr>
        <w:jc w:val="right"/>
        <w:rPr>
          <w:rFonts w:ascii="Arial" w:hAnsi="Arial"/>
          <w:sz w:val="18"/>
        </w:rPr>
      </w:pPr>
      <w:r>
        <w:rPr>
          <w:rFonts w:ascii="Arial" w:hAnsi="Arial"/>
          <w:sz w:val="18"/>
        </w:rPr>
        <w:t>See Page 2</w:t>
      </w:r>
    </w:p>
    <w:p w14:paraId="548C59F3"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5D242213" w14:textId="77777777">
        <w:trPr>
          <w:tblHeader/>
        </w:trPr>
        <w:tc>
          <w:tcPr>
            <w:tcW w:w="4788" w:type="dxa"/>
            <w:tcBorders>
              <w:top w:val="nil"/>
              <w:left w:val="nil"/>
              <w:bottom w:val="nil"/>
              <w:right w:val="nil"/>
            </w:tcBorders>
          </w:tcPr>
          <w:p w14:paraId="2763A661"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34F2AEAE" w14:textId="77777777" w:rsidR="003379BD" w:rsidRDefault="003379BD" w:rsidP="00CF16BF">
            <w:pPr>
              <w:rPr>
                <w:rFonts w:ascii="Arial" w:hAnsi="Arial"/>
                <w:sz w:val="18"/>
              </w:rPr>
            </w:pPr>
            <w:r>
              <w:rPr>
                <w:rFonts w:ascii="Arial" w:hAnsi="Arial"/>
                <w:sz w:val="18"/>
              </w:rPr>
              <w:t xml:space="preserve">Medication: </w:t>
            </w:r>
            <w:r w:rsidR="00DA1BC9" w:rsidRPr="00571CDD">
              <w:rPr>
                <w:sz w:val="22"/>
              </w:rPr>
              <w:t>Nuedexta</w:t>
            </w:r>
            <w:r w:rsidR="00097390" w:rsidRPr="00097390">
              <w:rPr>
                <w:sz w:val="22"/>
              </w:rPr>
              <w:t xml:space="preserve"> </w:t>
            </w:r>
            <w:r w:rsidR="00097390">
              <w:rPr>
                <w:rFonts w:ascii="Arial" w:hAnsi="Arial" w:cs="Arial"/>
                <w:sz w:val="18"/>
              </w:rPr>
              <w:t>–</w:t>
            </w:r>
            <w:r>
              <w:rPr>
                <w:rFonts w:ascii="Arial" w:hAnsi="Arial"/>
                <w:sz w:val="18"/>
              </w:rPr>
              <w:t xml:space="preserve"> (</w:t>
            </w:r>
            <w:r w:rsidR="00DA1BC9" w:rsidRPr="00571CDD">
              <w:rPr>
                <w:sz w:val="22"/>
              </w:rPr>
              <w:t>dextromethorphan hydrobromide/quinidine sulfate</w:t>
            </w:r>
            <w:r>
              <w:rPr>
                <w:rFonts w:ascii="Arial" w:hAnsi="Arial"/>
                <w:sz w:val="18"/>
              </w:rPr>
              <w:t>)</w:t>
            </w:r>
          </w:p>
        </w:tc>
      </w:tr>
      <w:tr w:rsidR="003379BD" w14:paraId="73344A80" w14:textId="77777777">
        <w:trPr>
          <w:cantSplit/>
        </w:trPr>
        <w:tc>
          <w:tcPr>
            <w:tcW w:w="11448" w:type="dxa"/>
            <w:gridSpan w:val="2"/>
            <w:tcBorders>
              <w:top w:val="single" w:sz="4" w:space="0" w:color="auto"/>
              <w:left w:val="nil"/>
              <w:bottom w:val="single" w:sz="4" w:space="0" w:color="auto"/>
              <w:right w:val="nil"/>
            </w:tcBorders>
          </w:tcPr>
          <w:p w14:paraId="4E3C1D13"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0CEAC8C" w14:textId="77777777" w:rsidTr="001D6375">
        <w:trPr>
          <w:cantSplit/>
          <w:trHeight w:val="602"/>
        </w:trPr>
        <w:tc>
          <w:tcPr>
            <w:tcW w:w="11448" w:type="dxa"/>
            <w:gridSpan w:val="2"/>
            <w:tcBorders>
              <w:top w:val="single" w:sz="4" w:space="0" w:color="auto"/>
              <w:left w:val="nil"/>
              <w:bottom w:val="nil"/>
              <w:right w:val="nil"/>
            </w:tcBorders>
          </w:tcPr>
          <w:p w14:paraId="381B0038" w14:textId="77777777" w:rsidR="003379BD" w:rsidRPr="001505AE" w:rsidRDefault="003379BD" w:rsidP="00683097">
            <w:pPr>
              <w:pStyle w:val="Heading6"/>
              <w:rPr>
                <w:b w:val="0"/>
                <w:sz w:val="18"/>
                <w:szCs w:val="18"/>
              </w:rPr>
            </w:pPr>
            <w:r w:rsidRPr="001505AE">
              <w:rPr>
                <w:b w:val="0"/>
                <w:sz w:val="18"/>
              </w:rPr>
              <w:t>Continued – Possible side effects, warnings</w:t>
            </w:r>
            <w:r w:rsidR="00097390" w:rsidRPr="001505AE">
              <w:rPr>
                <w:b w:val="0"/>
                <w:sz w:val="18"/>
              </w:rPr>
              <w:t>,</w:t>
            </w:r>
            <w:r w:rsidRPr="001505AE">
              <w:rPr>
                <w:b w:val="0"/>
                <w:sz w:val="18"/>
              </w:rPr>
              <w:t xml:space="preserve"> and cautions</w:t>
            </w:r>
            <w:r w:rsidRPr="001505AE">
              <w:rPr>
                <w:b w:val="0"/>
              </w:rPr>
              <w:t xml:space="preserve"> </w:t>
            </w:r>
            <w:r w:rsidRPr="001505AE">
              <w:rPr>
                <w:b w:val="0"/>
                <w:sz w:val="18"/>
                <w:szCs w:val="18"/>
              </w:rPr>
              <w:t>associated with this medication.</w:t>
            </w:r>
          </w:p>
          <w:p w14:paraId="7EE43796" w14:textId="77777777" w:rsidR="0021563E" w:rsidRDefault="00E81C8A" w:rsidP="00E81C8A">
            <w:pPr>
              <w:pStyle w:val="Heading6"/>
              <w:spacing w:before="120"/>
              <w:rPr>
                <w:b w:val="0"/>
                <w:sz w:val="18"/>
                <w:szCs w:val="18"/>
              </w:rPr>
            </w:pPr>
            <w:r w:rsidRPr="0056414C">
              <w:rPr>
                <w:sz w:val="18"/>
                <w:szCs w:val="18"/>
              </w:rPr>
              <w:t>Most Common Side Effects</w:t>
            </w:r>
            <w:r>
              <w:rPr>
                <w:b w:val="0"/>
                <w:sz w:val="18"/>
                <w:szCs w:val="18"/>
              </w:rPr>
              <w:br/>
            </w:r>
            <w:r w:rsidR="001505AE" w:rsidRPr="001505AE">
              <w:rPr>
                <w:b w:val="0"/>
                <w:sz w:val="18"/>
                <w:szCs w:val="18"/>
              </w:rPr>
              <w:t>The m</w:t>
            </w:r>
            <w:r w:rsidR="003379BD" w:rsidRPr="001505AE">
              <w:rPr>
                <w:b w:val="0"/>
                <w:sz w:val="18"/>
                <w:szCs w:val="18"/>
              </w:rPr>
              <w:t xml:space="preserve">ost </w:t>
            </w:r>
            <w:r w:rsidR="001505AE" w:rsidRPr="001505AE">
              <w:rPr>
                <w:b w:val="0"/>
                <w:sz w:val="18"/>
                <w:szCs w:val="18"/>
              </w:rPr>
              <w:t>c</w:t>
            </w:r>
            <w:r w:rsidR="003379BD" w:rsidRPr="001505AE">
              <w:rPr>
                <w:b w:val="0"/>
                <w:sz w:val="18"/>
                <w:szCs w:val="18"/>
              </w:rPr>
              <w:t xml:space="preserve">ommon </w:t>
            </w:r>
            <w:r w:rsidR="001505AE" w:rsidRPr="001505AE">
              <w:rPr>
                <w:b w:val="0"/>
                <w:sz w:val="18"/>
                <w:szCs w:val="18"/>
              </w:rPr>
              <w:t>side e</w:t>
            </w:r>
            <w:r w:rsidR="003379BD" w:rsidRPr="001505AE">
              <w:rPr>
                <w:b w:val="0"/>
                <w:sz w:val="18"/>
                <w:szCs w:val="18"/>
              </w:rPr>
              <w:t>ffects</w:t>
            </w:r>
            <w:r w:rsidR="001505AE" w:rsidRPr="001505AE">
              <w:rPr>
                <w:b w:val="0"/>
                <w:sz w:val="18"/>
                <w:szCs w:val="18"/>
              </w:rPr>
              <w:t xml:space="preserve"> include peripheral edema, diarrhea, vomiting, asthenia, </w:t>
            </w:r>
            <w:r w:rsidRPr="001505AE">
              <w:rPr>
                <w:b w:val="0"/>
                <w:sz w:val="18"/>
                <w:szCs w:val="18"/>
              </w:rPr>
              <w:t>dizziness,</w:t>
            </w:r>
            <w:r w:rsidR="001505AE" w:rsidRPr="001505AE">
              <w:rPr>
                <w:b w:val="0"/>
                <w:sz w:val="18"/>
                <w:szCs w:val="18"/>
              </w:rPr>
              <w:t xml:space="preserve"> and cough.</w:t>
            </w:r>
          </w:p>
          <w:p w14:paraId="14356E21" w14:textId="77777777" w:rsidR="00E81C8A" w:rsidRPr="00E81C8A" w:rsidRDefault="00E81C8A" w:rsidP="00E81C8A"/>
        </w:tc>
      </w:tr>
      <w:tr w:rsidR="003379BD" w14:paraId="4AB7AB3B" w14:textId="77777777" w:rsidTr="001D6375">
        <w:trPr>
          <w:cantSplit/>
          <w:trHeight w:val="369"/>
        </w:trPr>
        <w:tc>
          <w:tcPr>
            <w:tcW w:w="11448" w:type="dxa"/>
            <w:gridSpan w:val="2"/>
            <w:tcBorders>
              <w:top w:val="nil"/>
              <w:left w:val="nil"/>
              <w:bottom w:val="nil"/>
              <w:right w:val="nil"/>
            </w:tcBorders>
          </w:tcPr>
          <w:p w14:paraId="73BE586A" w14:textId="77777777" w:rsidR="003379BD" w:rsidRDefault="00E81C8A" w:rsidP="001505AE">
            <w:pPr>
              <w:rPr>
                <w:rFonts w:ascii="Arial" w:hAnsi="Arial"/>
                <w:snapToGrid w:val="0"/>
                <w:color w:val="000000"/>
                <w:sz w:val="18"/>
              </w:rPr>
            </w:pPr>
            <w:r>
              <w:rPr>
                <w:rFonts w:ascii="Arial" w:hAnsi="Arial"/>
                <w:b/>
                <w:snapToGrid w:val="0"/>
                <w:color w:val="000000"/>
                <w:sz w:val="18"/>
              </w:rPr>
              <w:t>Less Common Side Effects</w:t>
            </w:r>
            <w:r w:rsidRPr="001505AE">
              <w:rPr>
                <w:rFonts w:ascii="Arial" w:hAnsi="Arial"/>
                <w:snapToGrid w:val="0"/>
                <w:color w:val="000000"/>
                <w:sz w:val="18"/>
              </w:rPr>
              <w:t xml:space="preserve"> </w:t>
            </w:r>
            <w:r>
              <w:rPr>
                <w:rFonts w:ascii="Arial" w:hAnsi="Arial"/>
                <w:snapToGrid w:val="0"/>
                <w:color w:val="000000"/>
                <w:sz w:val="18"/>
              </w:rPr>
              <w:br/>
            </w:r>
            <w:r w:rsidR="003379BD" w:rsidRPr="001505AE">
              <w:rPr>
                <w:rFonts w:ascii="Arial" w:hAnsi="Arial"/>
                <w:snapToGrid w:val="0"/>
                <w:color w:val="000000"/>
                <w:sz w:val="18"/>
              </w:rPr>
              <w:t xml:space="preserve">Less </w:t>
            </w:r>
            <w:r w:rsidR="001505AE">
              <w:rPr>
                <w:rFonts w:ascii="Arial" w:hAnsi="Arial"/>
                <w:snapToGrid w:val="0"/>
                <w:color w:val="000000"/>
                <w:sz w:val="18"/>
              </w:rPr>
              <w:t>common side e</w:t>
            </w:r>
            <w:r w:rsidR="003379BD" w:rsidRPr="001505AE">
              <w:rPr>
                <w:rFonts w:ascii="Arial" w:hAnsi="Arial"/>
                <w:snapToGrid w:val="0"/>
                <w:color w:val="000000"/>
                <w:sz w:val="18"/>
              </w:rPr>
              <w:t>ffects</w:t>
            </w:r>
            <w:r w:rsidR="001505AE">
              <w:rPr>
                <w:rFonts w:ascii="Arial" w:hAnsi="Arial"/>
                <w:snapToGrid w:val="0"/>
                <w:color w:val="000000"/>
                <w:sz w:val="18"/>
              </w:rPr>
              <w:t xml:space="preserve"> include prolonged QT interval, hepatitis, immune </w:t>
            </w:r>
            <w:r w:rsidR="00DE620C">
              <w:rPr>
                <w:rFonts w:ascii="Arial" w:hAnsi="Arial"/>
                <w:snapToGrid w:val="0"/>
                <w:color w:val="000000"/>
                <w:sz w:val="18"/>
              </w:rPr>
              <w:t>thrombocytopenia,</w:t>
            </w:r>
            <w:r w:rsidR="001505AE">
              <w:rPr>
                <w:rFonts w:ascii="Arial" w:hAnsi="Arial"/>
                <w:snapToGrid w:val="0"/>
                <w:color w:val="000000"/>
                <w:sz w:val="18"/>
              </w:rPr>
              <w:t xml:space="preserve"> and systemic lupus erythematosus.</w:t>
            </w:r>
          </w:p>
          <w:p w14:paraId="6852C760" w14:textId="77777777" w:rsidR="00E81C8A" w:rsidRPr="001505AE" w:rsidRDefault="00E81C8A" w:rsidP="001505AE"/>
        </w:tc>
      </w:tr>
      <w:tr w:rsidR="003379BD" w14:paraId="38EB5A4A" w14:textId="77777777" w:rsidTr="00683097">
        <w:trPr>
          <w:cantSplit/>
          <w:trHeight w:val="576"/>
        </w:trPr>
        <w:tc>
          <w:tcPr>
            <w:tcW w:w="11448" w:type="dxa"/>
            <w:gridSpan w:val="2"/>
            <w:tcBorders>
              <w:top w:val="nil"/>
              <w:left w:val="nil"/>
              <w:bottom w:val="nil"/>
              <w:right w:val="nil"/>
            </w:tcBorders>
          </w:tcPr>
          <w:p w14:paraId="0330CBDB" w14:textId="77777777" w:rsidR="003379BD" w:rsidRDefault="00E81C8A" w:rsidP="00AD441D">
            <w:pPr>
              <w:rPr>
                <w:rFonts w:ascii="Arial" w:hAnsi="Arial"/>
                <w:snapToGrid w:val="0"/>
                <w:color w:val="000000"/>
                <w:sz w:val="18"/>
              </w:rPr>
            </w:pPr>
            <w:r>
              <w:rPr>
                <w:rFonts w:ascii="Arial" w:hAnsi="Arial"/>
                <w:b/>
                <w:sz w:val="18"/>
              </w:rPr>
              <w:t>Rare Side Effects</w:t>
            </w:r>
            <w:r>
              <w:rPr>
                <w:rFonts w:ascii="Arial" w:hAnsi="Arial"/>
                <w:sz w:val="18"/>
              </w:rPr>
              <w:t xml:space="preserve"> </w:t>
            </w:r>
            <w:r>
              <w:rPr>
                <w:rFonts w:ascii="Arial" w:hAnsi="Arial"/>
                <w:sz w:val="18"/>
              </w:rPr>
              <w:br/>
            </w:r>
            <w:r w:rsidR="00C206CF">
              <w:rPr>
                <w:rFonts w:ascii="Arial" w:hAnsi="Arial"/>
                <w:sz w:val="18"/>
              </w:rPr>
              <w:t>Rare side e</w:t>
            </w:r>
            <w:r w:rsidR="003379BD" w:rsidRPr="001505AE">
              <w:rPr>
                <w:rFonts w:ascii="Arial" w:hAnsi="Arial"/>
                <w:sz w:val="18"/>
              </w:rPr>
              <w:t>ffects</w:t>
            </w:r>
            <w:r w:rsidR="00C206CF">
              <w:rPr>
                <w:rFonts w:ascii="Arial" w:hAnsi="Arial"/>
                <w:sz w:val="18"/>
              </w:rPr>
              <w:t xml:space="preserve"> include d</w:t>
            </w:r>
            <w:r w:rsidR="00C206CF">
              <w:rPr>
                <w:rFonts w:ascii="Arial" w:hAnsi="Arial"/>
                <w:snapToGrid w:val="0"/>
                <w:color w:val="000000"/>
                <w:sz w:val="18"/>
              </w:rPr>
              <w:t>ose-dependent QTc prolongation has been reported with Nuedexta and may lead to torsades de pointes dysrhythmia, with an increased risk in patients with left ventricular dysfunction or hypertrophy or with concomitant use of QT-prolonging drugs, or strong or moderate CYP3A4 inhibitors. Arrhythmias may occur, especially with concomitant use of QT-prolonging drugs, electrolyte abnormalities such as hypokalemia or hypomagnesia, bradycardia, or family history of QT abnormality</w:t>
            </w:r>
            <w:r>
              <w:rPr>
                <w:rFonts w:ascii="Arial" w:hAnsi="Arial"/>
                <w:snapToGrid w:val="0"/>
                <w:color w:val="000000"/>
                <w:sz w:val="18"/>
              </w:rPr>
              <w:t>.</w:t>
            </w:r>
          </w:p>
          <w:p w14:paraId="020946BC" w14:textId="77777777" w:rsidR="00E81C8A" w:rsidRPr="001505AE" w:rsidRDefault="00E81C8A" w:rsidP="00AD441D"/>
        </w:tc>
      </w:tr>
      <w:tr w:rsidR="003379BD" w14:paraId="3B082B5A" w14:textId="77777777" w:rsidTr="001D6375">
        <w:trPr>
          <w:cantSplit/>
          <w:trHeight w:val="1503"/>
        </w:trPr>
        <w:tc>
          <w:tcPr>
            <w:tcW w:w="11448" w:type="dxa"/>
            <w:gridSpan w:val="2"/>
            <w:tcBorders>
              <w:top w:val="nil"/>
              <w:left w:val="nil"/>
              <w:bottom w:val="nil"/>
              <w:right w:val="nil"/>
            </w:tcBorders>
          </w:tcPr>
          <w:p w14:paraId="37F39801" w14:textId="77777777" w:rsidR="00C206CF" w:rsidRDefault="00E81C8A" w:rsidP="00AD441D">
            <w:pPr>
              <w:rPr>
                <w:rFonts w:ascii="Arial" w:hAnsi="Arial"/>
                <w:snapToGrid w:val="0"/>
                <w:color w:val="000000"/>
                <w:sz w:val="18"/>
              </w:rPr>
            </w:pPr>
            <w:r>
              <w:rPr>
                <w:rFonts w:ascii="Arial" w:hAnsi="Arial"/>
                <w:b/>
                <w:snapToGrid w:val="0"/>
                <w:color w:val="000000"/>
                <w:sz w:val="18"/>
              </w:rPr>
              <w:t>Caution</w:t>
            </w:r>
          </w:p>
          <w:p w14:paraId="171B295F" w14:textId="77777777" w:rsidR="001505AE" w:rsidRDefault="00C206CF" w:rsidP="003F0951">
            <w:pPr>
              <w:rPr>
                <w:rFonts w:ascii="Arial" w:hAnsi="Arial"/>
                <w:snapToGrid w:val="0"/>
                <w:color w:val="000000"/>
                <w:sz w:val="18"/>
              </w:rPr>
            </w:pPr>
            <w:r>
              <w:rPr>
                <w:rFonts w:ascii="Arial" w:hAnsi="Arial"/>
                <w:snapToGrid w:val="0"/>
                <w:color w:val="000000"/>
                <w:sz w:val="18"/>
              </w:rPr>
              <w:t>D</w:t>
            </w:r>
            <w:r w:rsidR="001505AE">
              <w:rPr>
                <w:rFonts w:ascii="Arial" w:hAnsi="Arial"/>
                <w:snapToGrid w:val="0"/>
                <w:color w:val="000000"/>
                <w:sz w:val="18"/>
              </w:rPr>
              <w:t>ose-dependent QTc prolongation has been reported with Nuedexta and may lead to torsades de pointes dysrhythmia, with an increased risk in patients with left ventricular dysfunction or hypertrophy or with concomitant use of QT-prolonging drugs, or strong or moderate CYP3A4 inhibitors. Arrhythmias may occur, especially with concomitant use of QT-prolonging drugs, electrolyte abnormalities such as hypokalemia or hypomagnesia, bradycardia, or family history of QT abnormality.</w:t>
            </w:r>
            <w:r>
              <w:rPr>
                <w:rFonts w:ascii="Arial" w:hAnsi="Arial"/>
                <w:snapToGrid w:val="0"/>
                <w:color w:val="000000"/>
                <w:sz w:val="18"/>
              </w:rPr>
              <w:t xml:space="preserve"> Severe and/or fatal cases of immune-mediated thrombocytopenia, hepatitis, including granulomatous hepatitis, and Lupus-like syndrome with polyarthritis and sometimes a positive antinuclear antibody test have been reported with quinidine.</w:t>
            </w:r>
          </w:p>
          <w:p w14:paraId="080ECE2C" w14:textId="77777777" w:rsidR="00E81C8A" w:rsidRPr="001505AE" w:rsidRDefault="00E81C8A" w:rsidP="00E81C8A"/>
        </w:tc>
      </w:tr>
      <w:tr w:rsidR="003379BD" w14:paraId="7C1D26BD" w14:textId="77777777" w:rsidTr="00683097">
        <w:trPr>
          <w:cantSplit/>
          <w:trHeight w:val="576"/>
        </w:trPr>
        <w:tc>
          <w:tcPr>
            <w:tcW w:w="11448" w:type="dxa"/>
            <w:gridSpan w:val="2"/>
            <w:tcBorders>
              <w:top w:val="nil"/>
              <w:left w:val="nil"/>
              <w:bottom w:val="nil"/>
              <w:right w:val="nil"/>
            </w:tcBorders>
          </w:tcPr>
          <w:p w14:paraId="4373EC78" w14:textId="77777777" w:rsidR="00E81C8A" w:rsidRDefault="00E81C8A" w:rsidP="00C206CF">
            <w:pPr>
              <w:rPr>
                <w:rFonts w:ascii="Arial" w:hAnsi="Arial"/>
                <w:snapToGrid w:val="0"/>
                <w:color w:val="000000"/>
                <w:sz w:val="18"/>
              </w:rPr>
            </w:pPr>
            <w:r>
              <w:rPr>
                <w:rFonts w:ascii="Arial" w:hAnsi="Arial"/>
                <w:b/>
                <w:snapToGrid w:val="0"/>
                <w:color w:val="000000"/>
                <w:sz w:val="18"/>
              </w:rPr>
              <w:t>Warning</w:t>
            </w:r>
            <w:r>
              <w:rPr>
                <w:rFonts w:ascii="Arial" w:hAnsi="Arial"/>
                <w:snapToGrid w:val="0"/>
                <w:color w:val="000000"/>
                <w:sz w:val="18"/>
              </w:rPr>
              <w:t xml:space="preserve"> </w:t>
            </w:r>
          </w:p>
          <w:p w14:paraId="51438A17" w14:textId="77777777" w:rsidR="00C206CF" w:rsidRDefault="00C206CF" w:rsidP="00E81C8A">
            <w:pPr>
              <w:rPr>
                <w:rFonts w:ascii="Arial" w:hAnsi="Arial"/>
                <w:snapToGrid w:val="0"/>
                <w:color w:val="000000"/>
                <w:sz w:val="18"/>
              </w:rPr>
            </w:pPr>
            <w:r>
              <w:rPr>
                <w:rFonts w:ascii="Arial" w:hAnsi="Arial"/>
                <w:snapToGrid w:val="0"/>
                <w:color w:val="000000"/>
                <w:sz w:val="18"/>
              </w:rPr>
              <w:t>Nuedexta should be avoided in patients with complete atrioventricular (AV) block without implanted pacemaker, or at high risk of complete AV block. Concomitant use with drugs containing quinidine, quinine, mefloquine, drugs that both prolong the QT interval and are metabolized by CYP2D6 (e.g., thioridazine, pimozide) and MAOIs or MAOI use within 14 days should be avoided. Use of Nuedexta with SSRIs or TCAs may increase the risk of serotonin syndrome.</w:t>
            </w:r>
          </w:p>
          <w:p w14:paraId="27156DAC" w14:textId="77777777" w:rsidR="00E81C8A" w:rsidRPr="001505AE" w:rsidRDefault="00E81C8A" w:rsidP="00E81C8A"/>
        </w:tc>
      </w:tr>
      <w:tr w:rsidR="003379BD" w14:paraId="6BCF414E" w14:textId="77777777">
        <w:trPr>
          <w:cantSplit/>
          <w:trHeight w:hRule="exact" w:val="288"/>
        </w:trPr>
        <w:tc>
          <w:tcPr>
            <w:tcW w:w="11448" w:type="dxa"/>
            <w:gridSpan w:val="2"/>
            <w:tcBorders>
              <w:top w:val="nil"/>
              <w:left w:val="nil"/>
              <w:bottom w:val="single" w:sz="4" w:space="0" w:color="auto"/>
              <w:right w:val="nil"/>
            </w:tcBorders>
            <w:vAlign w:val="bottom"/>
          </w:tcPr>
          <w:p w14:paraId="056416E7" w14:textId="7C353C94" w:rsidR="003379BD" w:rsidRDefault="003379BD" w:rsidP="005325D4">
            <w:pPr>
              <w:rPr>
                <w:rFonts w:ascii="Arial" w:hAnsi="Arial"/>
                <w:sz w:val="18"/>
              </w:rPr>
            </w:pPr>
            <w:r>
              <w:rPr>
                <w:rFonts w:ascii="Arial" w:hAnsi="Arial"/>
                <w:sz w:val="18"/>
              </w:rPr>
              <w:t xml:space="preserve">See </w:t>
            </w:r>
            <w:r w:rsidR="00726200">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7E0C724" w14:textId="77777777">
        <w:trPr>
          <w:cantSplit/>
        </w:trPr>
        <w:tc>
          <w:tcPr>
            <w:tcW w:w="11448" w:type="dxa"/>
            <w:gridSpan w:val="2"/>
            <w:tcBorders>
              <w:top w:val="nil"/>
              <w:left w:val="nil"/>
              <w:bottom w:val="nil"/>
              <w:right w:val="nil"/>
            </w:tcBorders>
          </w:tcPr>
          <w:p w14:paraId="09093FAE" w14:textId="77777777" w:rsidR="003379BD" w:rsidRDefault="003379BD" w:rsidP="00E81C8A">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42DCB0E1" w14:textId="77777777" w:rsidR="003379BD" w:rsidRDefault="003379BD" w:rsidP="00E81C8A">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77A8A32" w14:textId="77777777" w:rsidR="003379BD" w:rsidRDefault="003379BD" w:rsidP="00E81C8A">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3146D91" w14:textId="77777777" w:rsidR="003379BD" w:rsidRDefault="003379BD" w:rsidP="00E81C8A">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1BC1F80" w14:textId="77777777" w:rsidR="003379BD" w:rsidRDefault="003379BD" w:rsidP="00E81C8A">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9116AD0" w14:textId="77777777" w:rsidR="003379BD" w:rsidRDefault="003379BD" w:rsidP="00E81C8A">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C3B63F5" w14:textId="77777777" w:rsidR="003379BD" w:rsidRDefault="003379BD" w:rsidP="00E81C8A">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D76A944" w14:textId="77777777" w:rsidR="003379BD" w:rsidRDefault="003379BD" w:rsidP="00E81C8A">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C48418A" w14:textId="77777777" w:rsidR="003379BD" w:rsidRDefault="003379BD" w:rsidP="00E81C8A">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B070894" w14:textId="77777777" w:rsidR="003379BD" w:rsidRDefault="003379BD" w:rsidP="00E81C8A">
            <w:pPr>
              <w:pageBreakBefore/>
              <w:tabs>
                <w:tab w:val="left" w:pos="360"/>
                <w:tab w:val="left" w:pos="630"/>
              </w:tabs>
              <w:rPr>
                <w:rFonts w:ascii="Arial" w:hAnsi="Arial"/>
                <w:sz w:val="10"/>
              </w:rPr>
            </w:pPr>
          </w:p>
        </w:tc>
      </w:tr>
    </w:tbl>
    <w:p w14:paraId="0544A4D2" w14:textId="77777777" w:rsidR="0021563E" w:rsidRDefault="0021563E">
      <w:pPr>
        <w:rPr>
          <w:rFonts w:ascii="Arial" w:hAnsi="Arial"/>
          <w:b/>
          <w:sz w:val="18"/>
        </w:rPr>
        <w:sectPr w:rsidR="0021563E" w:rsidSect="0056414C">
          <w:footerReference w:type="default" r:id="rId11"/>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985D1C4" w14:textId="77777777" w:rsidTr="0021563E">
        <w:trPr>
          <w:cantSplit/>
        </w:trPr>
        <w:tc>
          <w:tcPr>
            <w:tcW w:w="9918" w:type="dxa"/>
            <w:gridSpan w:val="5"/>
            <w:tcBorders>
              <w:top w:val="nil"/>
              <w:left w:val="nil"/>
              <w:bottom w:val="nil"/>
              <w:right w:val="nil"/>
            </w:tcBorders>
          </w:tcPr>
          <w:p w14:paraId="3573BFC4"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49093E0" w14:textId="77777777" w:rsidR="003379BD" w:rsidRDefault="005325D4" w:rsidP="0021563E">
            <w:pPr>
              <w:ind w:left="-18"/>
              <w:rPr>
                <w:rFonts w:ascii="Arial" w:hAnsi="Arial"/>
                <w:b/>
                <w:sz w:val="18"/>
              </w:rPr>
            </w:pPr>
            <w:r>
              <w:rPr>
                <w:rFonts w:ascii="Arial" w:hAnsi="Arial"/>
                <w:b/>
                <w:sz w:val="18"/>
              </w:rPr>
              <w:t>DATE SIGNED</w:t>
            </w:r>
          </w:p>
        </w:tc>
      </w:tr>
      <w:tr w:rsidR="003379BD" w14:paraId="3A9C648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DCD1A6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07BB9B7"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5906D7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0C40263" w14:textId="77777777" w:rsidR="003379BD" w:rsidRDefault="003379BD">
            <w:pPr>
              <w:rPr>
                <w:rFonts w:ascii="Arial" w:hAnsi="Arial"/>
                <w:sz w:val="18"/>
              </w:rPr>
            </w:pPr>
          </w:p>
        </w:tc>
      </w:tr>
      <w:tr w:rsidR="003379BD" w14:paraId="095DAE0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CCA9E90"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431C146"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3D04E6F" w14:textId="77777777" w:rsidR="003379BD" w:rsidRDefault="003379BD">
            <w:pPr>
              <w:rPr>
                <w:rFonts w:ascii="Arial" w:hAnsi="Arial"/>
                <w:sz w:val="18"/>
              </w:rPr>
            </w:pPr>
          </w:p>
        </w:tc>
      </w:tr>
      <w:tr w:rsidR="007A6FC3" w14:paraId="736A328C" w14:textId="77777777">
        <w:trPr>
          <w:cantSplit/>
          <w:trHeight w:hRule="exact" w:val="864"/>
        </w:trPr>
        <w:tc>
          <w:tcPr>
            <w:tcW w:w="11448" w:type="dxa"/>
            <w:gridSpan w:val="6"/>
            <w:tcBorders>
              <w:top w:val="single" w:sz="4" w:space="0" w:color="auto"/>
              <w:left w:val="nil"/>
              <w:bottom w:val="single" w:sz="4" w:space="0" w:color="auto"/>
              <w:right w:val="nil"/>
            </w:tcBorders>
          </w:tcPr>
          <w:p w14:paraId="69EAE543"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54E64948"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4C2224B0"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80BB7AF"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19624B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3908476A"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4926C5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052650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3FA6BDA"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3A1290">
              <w:rPr>
                <w:rFonts w:ascii="Arial" w:hAnsi="Arial"/>
                <w:sz w:val="18"/>
              </w:rPr>
            </w:r>
            <w:r w:rsidR="003A129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A0C3A1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DA87059"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1EABAB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5098A51"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21D5728" w14:textId="77777777" w:rsidR="007A6FC3" w:rsidRPr="004553BF" w:rsidRDefault="007A6FC3" w:rsidP="000D10CA">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5B8D" w14:textId="77777777" w:rsidR="005B1E5D" w:rsidRDefault="005B1E5D" w:rsidP="007A6FC3">
      <w:r>
        <w:separator/>
      </w:r>
    </w:p>
  </w:endnote>
  <w:endnote w:type="continuationSeparator" w:id="0">
    <w:p w14:paraId="59BE2002" w14:textId="77777777" w:rsidR="005B1E5D" w:rsidRDefault="005B1E5D"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A5D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BB187"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4C2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B952C6"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5FBB390" w14:textId="77777777" w:rsidTr="00CC7A80">
      <w:tc>
        <w:tcPr>
          <w:tcW w:w="1932" w:type="dxa"/>
          <w:shd w:val="clear" w:color="auto" w:fill="auto"/>
        </w:tcPr>
        <w:p w14:paraId="4DF05B0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8E1D9C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B6BF81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819538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EA7808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AFB4E67" w14:textId="77777777" w:rsidR="0018307F" w:rsidRPr="00CC7A80" w:rsidRDefault="0018307F" w:rsidP="00CC7A80">
          <w:pPr>
            <w:pStyle w:val="Footer"/>
            <w:jc w:val="right"/>
            <w:rPr>
              <w:rFonts w:ascii="Arial" w:hAnsi="Arial" w:cs="Arial"/>
              <w:sz w:val="18"/>
              <w:szCs w:val="18"/>
            </w:rPr>
          </w:pPr>
        </w:p>
      </w:tc>
    </w:tr>
  </w:tbl>
  <w:p w14:paraId="642475C0" w14:textId="77777777" w:rsidR="0018307F" w:rsidRDefault="0018307F" w:rsidP="0021563E">
    <w:pPr>
      <w:pStyle w:val="Footer"/>
      <w:jc w:val="right"/>
    </w:pPr>
  </w:p>
  <w:p w14:paraId="65C629CE"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7EF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461">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349104C1" w14:textId="77777777" w:rsidTr="00CC7A80">
      <w:tc>
        <w:tcPr>
          <w:tcW w:w="1932" w:type="dxa"/>
          <w:shd w:val="clear" w:color="auto" w:fill="auto"/>
        </w:tcPr>
        <w:p w14:paraId="22A15F7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3D9255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C7B2A4A"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C1239FD"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247885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D461498" w14:textId="77777777" w:rsidR="0018307F" w:rsidRPr="00CC7A80" w:rsidRDefault="0018307F" w:rsidP="00CC7A80">
          <w:pPr>
            <w:pStyle w:val="Footer"/>
            <w:jc w:val="right"/>
            <w:rPr>
              <w:rFonts w:ascii="Arial" w:hAnsi="Arial" w:cs="Arial"/>
              <w:sz w:val="18"/>
              <w:szCs w:val="18"/>
            </w:rPr>
          </w:pPr>
        </w:p>
      </w:tc>
    </w:tr>
  </w:tbl>
  <w:p w14:paraId="3A702B91"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41FF" w14:textId="77777777" w:rsidR="005B1E5D" w:rsidRDefault="005B1E5D" w:rsidP="007A6FC3">
      <w:r>
        <w:separator/>
      </w:r>
    </w:p>
  </w:footnote>
  <w:footnote w:type="continuationSeparator" w:id="0">
    <w:p w14:paraId="6787AF84" w14:textId="77777777" w:rsidR="005B1E5D" w:rsidRDefault="005B1E5D"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45209702">
    <w:abstractNumId w:val="1"/>
  </w:num>
  <w:num w:numId="2" w16cid:durableId="1866402874">
    <w:abstractNumId w:val="3"/>
  </w:num>
  <w:num w:numId="3" w16cid:durableId="427773303">
    <w:abstractNumId w:val="2"/>
  </w:num>
  <w:num w:numId="4" w16cid:durableId="214712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1y1832UtALcpEQwAUERYb2/dG056auRCf72OhqcLdh1cdAKVKTEgYW8BpoDZ7AsWTZXOAR4NILKv3navpefQ==" w:salt="5umwxzdM+LS4YJYja1tsv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D10CA"/>
    <w:rsid w:val="000E25AD"/>
    <w:rsid w:val="00101422"/>
    <w:rsid w:val="001505AE"/>
    <w:rsid w:val="0018307F"/>
    <w:rsid w:val="001D6375"/>
    <w:rsid w:val="0021563E"/>
    <w:rsid w:val="00295B89"/>
    <w:rsid w:val="00304461"/>
    <w:rsid w:val="00311731"/>
    <w:rsid w:val="0031599E"/>
    <w:rsid w:val="003342E1"/>
    <w:rsid w:val="003379BD"/>
    <w:rsid w:val="00366B54"/>
    <w:rsid w:val="003A1290"/>
    <w:rsid w:val="003A15FD"/>
    <w:rsid w:val="003B2EF9"/>
    <w:rsid w:val="003B70D9"/>
    <w:rsid w:val="003D356D"/>
    <w:rsid w:val="003E29B2"/>
    <w:rsid w:val="003F0951"/>
    <w:rsid w:val="0044083D"/>
    <w:rsid w:val="004553BF"/>
    <w:rsid w:val="00464819"/>
    <w:rsid w:val="0047002C"/>
    <w:rsid w:val="004B0216"/>
    <w:rsid w:val="004D379B"/>
    <w:rsid w:val="005325D4"/>
    <w:rsid w:val="005508EB"/>
    <w:rsid w:val="0056414C"/>
    <w:rsid w:val="00571CDD"/>
    <w:rsid w:val="0059662D"/>
    <w:rsid w:val="005A70E2"/>
    <w:rsid w:val="005B1E5D"/>
    <w:rsid w:val="005C03B7"/>
    <w:rsid w:val="00606B81"/>
    <w:rsid w:val="00620024"/>
    <w:rsid w:val="00621771"/>
    <w:rsid w:val="0064565E"/>
    <w:rsid w:val="00653309"/>
    <w:rsid w:val="00683097"/>
    <w:rsid w:val="006B7A42"/>
    <w:rsid w:val="00726200"/>
    <w:rsid w:val="00775C94"/>
    <w:rsid w:val="007A6FC3"/>
    <w:rsid w:val="007B70D7"/>
    <w:rsid w:val="007E0E43"/>
    <w:rsid w:val="007F44C1"/>
    <w:rsid w:val="007F5DA4"/>
    <w:rsid w:val="00896455"/>
    <w:rsid w:val="008D1C36"/>
    <w:rsid w:val="00916D82"/>
    <w:rsid w:val="00927055"/>
    <w:rsid w:val="00934FD5"/>
    <w:rsid w:val="009B59D3"/>
    <w:rsid w:val="00A07916"/>
    <w:rsid w:val="00A22DDB"/>
    <w:rsid w:val="00A57B42"/>
    <w:rsid w:val="00A60207"/>
    <w:rsid w:val="00AA7ED4"/>
    <w:rsid w:val="00AB1650"/>
    <w:rsid w:val="00AD441D"/>
    <w:rsid w:val="00B1786E"/>
    <w:rsid w:val="00B24943"/>
    <w:rsid w:val="00B47C64"/>
    <w:rsid w:val="00B64324"/>
    <w:rsid w:val="00B82162"/>
    <w:rsid w:val="00B83999"/>
    <w:rsid w:val="00BD1B3D"/>
    <w:rsid w:val="00BF5264"/>
    <w:rsid w:val="00C206CF"/>
    <w:rsid w:val="00CA71B6"/>
    <w:rsid w:val="00CA7C90"/>
    <w:rsid w:val="00CC7A80"/>
    <w:rsid w:val="00CF16BF"/>
    <w:rsid w:val="00D40FF6"/>
    <w:rsid w:val="00D77F6A"/>
    <w:rsid w:val="00DA1BC9"/>
    <w:rsid w:val="00DA3C48"/>
    <w:rsid w:val="00DE620C"/>
    <w:rsid w:val="00DF0FF9"/>
    <w:rsid w:val="00E02750"/>
    <w:rsid w:val="00E7205C"/>
    <w:rsid w:val="00E81C8A"/>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2623ED"/>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6D016-6187-4B1E-B6F7-BA429E42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7704</Characters>
  <Application>Microsoft Office Word</Application>
  <DocSecurity>0</DocSecurity>
  <Lines>171</Lines>
  <Paragraphs>131</Paragraphs>
  <ScaleCrop>false</ScaleCrop>
  <HeadingPairs>
    <vt:vector size="2" baseType="variant">
      <vt:variant>
        <vt:lpstr>Title</vt:lpstr>
      </vt:variant>
      <vt:variant>
        <vt:i4>1</vt:i4>
      </vt:variant>
    </vt:vector>
  </HeadingPairs>
  <TitlesOfParts>
    <vt:vector size="1" baseType="lpstr">
      <vt:lpstr>Informed Consent for Medication, Nuedexta</vt:lpstr>
    </vt:vector>
  </TitlesOfParts>
  <Manager>Client Rights</Manager>
  <Company>All DHS</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Nuedexta</dc:title>
  <dc:creator>WI DHS</dc:creator>
  <cp:keywords>f24277, dde4277, dctf4277, informed consent, medication</cp:keywords>
  <cp:lastModifiedBy>Smith, Hilary J - DHS</cp:lastModifiedBy>
  <cp:revision>3</cp:revision>
  <cp:lastPrinted>2008-02-05T17:04:00Z</cp:lastPrinted>
  <dcterms:created xsi:type="dcterms:W3CDTF">2024-05-06T14:29:00Z</dcterms:created>
  <dcterms:modified xsi:type="dcterms:W3CDTF">2024-05-06T14:29:00Z</dcterms:modified>
</cp:coreProperties>
</file>