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4F5159A" w14:textId="77777777">
        <w:tc>
          <w:tcPr>
            <w:tcW w:w="5868" w:type="dxa"/>
            <w:tcBorders>
              <w:top w:val="nil"/>
              <w:left w:val="nil"/>
              <w:bottom w:val="nil"/>
              <w:right w:val="nil"/>
            </w:tcBorders>
          </w:tcPr>
          <w:p w14:paraId="13600707" w14:textId="77777777" w:rsidR="003379BD" w:rsidRPr="004553BF" w:rsidRDefault="003379BD">
            <w:pPr>
              <w:pStyle w:val="Heading1"/>
            </w:pPr>
            <w:r w:rsidRPr="004553BF">
              <w:t>DEPARTMENT OF HEALTH SERVICES</w:t>
            </w:r>
          </w:p>
          <w:p w14:paraId="65FA53EF"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4F72E119" w14:textId="1DE1ADCA"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501D78">
              <w:rPr>
                <w:rFonts w:ascii="Arial" w:hAnsi="Arial"/>
                <w:sz w:val="18"/>
              </w:rPr>
              <w:t>5</w:t>
            </w:r>
            <w:r w:rsidR="00017A46">
              <w:rPr>
                <w:rFonts w:ascii="Arial" w:hAnsi="Arial"/>
                <w:sz w:val="18"/>
              </w:rPr>
              <w:t>/20</w:t>
            </w:r>
            <w:r w:rsidR="00501D7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5325DCB"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7844E2D3" w14:textId="77777777" w:rsidR="003379BD" w:rsidRPr="004553BF" w:rsidRDefault="003379BD">
            <w:pPr>
              <w:jc w:val="right"/>
              <w:rPr>
                <w:rFonts w:ascii="Arial" w:hAnsi="Arial"/>
                <w:sz w:val="18"/>
              </w:rPr>
            </w:pPr>
            <w:r w:rsidRPr="004553BF">
              <w:rPr>
                <w:rFonts w:ascii="Arial" w:hAnsi="Arial"/>
                <w:sz w:val="18"/>
              </w:rPr>
              <w:t>42 CFR483.420(a)(2)</w:t>
            </w:r>
          </w:p>
          <w:p w14:paraId="05BEADB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F1A2EA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A7C7DDB"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94A5CA8"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368"/>
        <w:gridCol w:w="522"/>
        <w:gridCol w:w="450"/>
        <w:gridCol w:w="936"/>
        <w:gridCol w:w="144"/>
        <w:gridCol w:w="1764"/>
        <w:gridCol w:w="126"/>
        <w:gridCol w:w="2250"/>
        <w:gridCol w:w="1440"/>
      </w:tblGrid>
      <w:tr w:rsidR="003379BD" w14:paraId="5A9EE8AD" w14:textId="77777777">
        <w:trPr>
          <w:cantSplit/>
        </w:trPr>
        <w:tc>
          <w:tcPr>
            <w:tcW w:w="11448" w:type="dxa"/>
            <w:gridSpan w:val="10"/>
            <w:tcBorders>
              <w:top w:val="nil"/>
              <w:left w:val="nil"/>
              <w:bottom w:val="single" w:sz="4" w:space="0" w:color="auto"/>
              <w:right w:val="nil"/>
            </w:tcBorders>
          </w:tcPr>
          <w:p w14:paraId="44D17D36" w14:textId="77777777" w:rsidR="003379BD" w:rsidRDefault="003379BD" w:rsidP="0031599E">
            <w:pPr>
              <w:pStyle w:val="Heading3"/>
            </w:pPr>
            <w:r>
              <w:t>INFORMED CONSENT FOR MEDICATION</w:t>
            </w:r>
          </w:p>
          <w:p w14:paraId="33BD54D6" w14:textId="77777777" w:rsidR="00464819" w:rsidRDefault="00464819" w:rsidP="00C274E6">
            <w:pPr>
              <w:pStyle w:val="Heading4"/>
            </w:pPr>
            <w:r>
              <w:t xml:space="preserve">Dosage and / or Side Effect information last revised on </w:t>
            </w:r>
            <w:r w:rsidR="00C274E6">
              <w:rPr>
                <w:noProof/>
              </w:rPr>
              <w:t>08/09/2018</w:t>
            </w:r>
          </w:p>
          <w:p w14:paraId="016C75E1" w14:textId="6BC84300"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01D78">
              <w:rPr>
                <w:rFonts w:ascii="Arial" w:hAnsi="Arial"/>
                <w:sz w:val="18"/>
              </w:rPr>
              <w:t>informed consent is not given</w:t>
            </w:r>
            <w:r>
              <w:rPr>
                <w:rFonts w:ascii="Arial" w:hAnsi="Arial"/>
                <w:sz w:val="18"/>
              </w:rPr>
              <w:t>, the medication cannot be administered without a court order unless in an emergency.</w:t>
            </w:r>
          </w:p>
          <w:p w14:paraId="38F2EDF0"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89508CE" w14:textId="77777777">
        <w:trPr>
          <w:trHeight w:hRule="exact" w:val="480"/>
        </w:trPr>
        <w:tc>
          <w:tcPr>
            <w:tcW w:w="5868" w:type="dxa"/>
            <w:gridSpan w:val="6"/>
            <w:tcBorders>
              <w:top w:val="single" w:sz="4" w:space="0" w:color="auto"/>
              <w:left w:val="nil"/>
              <w:bottom w:val="single" w:sz="4" w:space="0" w:color="auto"/>
            </w:tcBorders>
          </w:tcPr>
          <w:p w14:paraId="1D512E02" w14:textId="77777777" w:rsidR="003379BD" w:rsidRDefault="003379BD">
            <w:pPr>
              <w:rPr>
                <w:rFonts w:ascii="Arial" w:hAnsi="Arial"/>
                <w:sz w:val="18"/>
              </w:rPr>
            </w:pPr>
            <w:r>
              <w:rPr>
                <w:rFonts w:ascii="Arial" w:hAnsi="Arial"/>
                <w:sz w:val="18"/>
              </w:rPr>
              <w:t>Name – Patient / Client (Last, First MI)</w:t>
            </w:r>
          </w:p>
          <w:p w14:paraId="4E5ED18D"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2699EB5C" w14:textId="77777777" w:rsidR="003379BD" w:rsidRDefault="003379BD">
            <w:pPr>
              <w:rPr>
                <w:rFonts w:ascii="Arial" w:hAnsi="Arial"/>
                <w:sz w:val="18"/>
              </w:rPr>
            </w:pPr>
            <w:r>
              <w:rPr>
                <w:rFonts w:ascii="Arial" w:hAnsi="Arial"/>
                <w:sz w:val="18"/>
              </w:rPr>
              <w:t>ID Number</w:t>
            </w:r>
          </w:p>
          <w:p w14:paraId="79E6F9CA"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D09C4A1" w14:textId="77777777" w:rsidR="003379BD" w:rsidRDefault="003379BD">
            <w:pPr>
              <w:rPr>
                <w:rFonts w:ascii="Arial" w:hAnsi="Arial"/>
                <w:sz w:val="18"/>
              </w:rPr>
            </w:pPr>
            <w:r>
              <w:rPr>
                <w:rFonts w:ascii="Arial" w:hAnsi="Arial"/>
                <w:sz w:val="18"/>
              </w:rPr>
              <w:t>Living Unit</w:t>
            </w:r>
          </w:p>
          <w:p w14:paraId="6AC90CE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E0117DE" w14:textId="77777777" w:rsidR="003379BD" w:rsidRDefault="006B7A42">
            <w:pPr>
              <w:rPr>
                <w:rFonts w:ascii="Arial" w:hAnsi="Arial"/>
                <w:sz w:val="18"/>
              </w:rPr>
            </w:pPr>
            <w:r>
              <w:rPr>
                <w:rFonts w:ascii="Arial" w:hAnsi="Arial"/>
                <w:sz w:val="18"/>
              </w:rPr>
              <w:t>Date of Birth</w:t>
            </w:r>
          </w:p>
          <w:p w14:paraId="4AFD759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AF7F933" w14:textId="77777777">
        <w:trPr>
          <w:cantSplit/>
        </w:trPr>
        <w:tc>
          <w:tcPr>
            <w:tcW w:w="4338" w:type="dxa"/>
            <w:gridSpan w:val="3"/>
            <w:tcBorders>
              <w:top w:val="single" w:sz="4" w:space="0" w:color="auto"/>
              <w:left w:val="nil"/>
              <w:bottom w:val="single" w:sz="4" w:space="0" w:color="auto"/>
            </w:tcBorders>
          </w:tcPr>
          <w:p w14:paraId="087FB6B5" w14:textId="77777777" w:rsidR="003379BD" w:rsidRDefault="003379BD">
            <w:pPr>
              <w:rPr>
                <w:rFonts w:ascii="Arial" w:hAnsi="Arial"/>
                <w:sz w:val="18"/>
              </w:rPr>
            </w:pPr>
            <w:r>
              <w:rPr>
                <w:rFonts w:ascii="Arial" w:hAnsi="Arial"/>
                <w:sz w:val="18"/>
              </w:rPr>
              <w:t>Name – Individual Preparing This Form</w:t>
            </w:r>
          </w:p>
          <w:p w14:paraId="2690F89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29CE96F" w14:textId="77777777" w:rsidR="003379BD" w:rsidRDefault="003379BD">
            <w:pPr>
              <w:rPr>
                <w:rFonts w:ascii="Arial" w:hAnsi="Arial"/>
                <w:sz w:val="18"/>
              </w:rPr>
            </w:pPr>
            <w:r>
              <w:rPr>
                <w:rFonts w:ascii="Arial" w:hAnsi="Arial"/>
                <w:sz w:val="18"/>
              </w:rPr>
              <w:t>Name – Staff Contact</w:t>
            </w:r>
          </w:p>
          <w:p w14:paraId="78B40C7B"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E4FBDA0" w14:textId="77777777" w:rsidR="003379BD" w:rsidRDefault="003379BD">
            <w:pPr>
              <w:rPr>
                <w:rFonts w:ascii="Arial" w:hAnsi="Arial"/>
                <w:sz w:val="18"/>
              </w:rPr>
            </w:pPr>
            <w:r>
              <w:rPr>
                <w:rFonts w:ascii="Arial" w:hAnsi="Arial"/>
                <w:sz w:val="18"/>
              </w:rPr>
              <w:t>Name / Telephone Number – Institution</w:t>
            </w:r>
          </w:p>
          <w:p w14:paraId="442A6F2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25385CD2" w14:textId="77777777" w:rsidTr="00652CEE">
        <w:trPr>
          <w:cantSplit/>
        </w:trPr>
        <w:tc>
          <w:tcPr>
            <w:tcW w:w="2448" w:type="dxa"/>
            <w:tcBorders>
              <w:top w:val="single" w:sz="4" w:space="0" w:color="auto"/>
              <w:left w:val="nil"/>
              <w:bottom w:val="nil"/>
            </w:tcBorders>
            <w:vAlign w:val="center"/>
          </w:tcPr>
          <w:p w14:paraId="061FE9EE" w14:textId="77777777" w:rsidR="003379BD" w:rsidRDefault="003379BD" w:rsidP="00DF0FF9">
            <w:pPr>
              <w:pStyle w:val="Heading4"/>
              <w:spacing w:before="0"/>
            </w:pPr>
            <w:r>
              <w:t>MEDICATION CATEGORY</w:t>
            </w:r>
          </w:p>
        </w:tc>
        <w:tc>
          <w:tcPr>
            <w:tcW w:w="2340" w:type="dxa"/>
            <w:gridSpan w:val="3"/>
            <w:tcBorders>
              <w:top w:val="single" w:sz="4" w:space="0" w:color="auto"/>
              <w:bottom w:val="nil"/>
              <w:right w:val="nil"/>
            </w:tcBorders>
            <w:vAlign w:val="center"/>
          </w:tcPr>
          <w:p w14:paraId="115DFF1E" w14:textId="77777777" w:rsidR="003379BD" w:rsidRDefault="003379BD" w:rsidP="00DF0FF9">
            <w:pPr>
              <w:jc w:val="center"/>
              <w:rPr>
                <w:rFonts w:ascii="Arial" w:hAnsi="Arial"/>
                <w:b/>
                <w:sz w:val="18"/>
              </w:rPr>
            </w:pPr>
            <w:r>
              <w:rPr>
                <w:rFonts w:ascii="Arial" w:hAnsi="Arial"/>
                <w:b/>
                <w:sz w:val="18"/>
              </w:rPr>
              <w:t>MEDICATION</w:t>
            </w:r>
          </w:p>
        </w:tc>
        <w:tc>
          <w:tcPr>
            <w:tcW w:w="5220" w:type="dxa"/>
            <w:gridSpan w:val="5"/>
            <w:tcBorders>
              <w:top w:val="single" w:sz="4" w:space="0" w:color="auto"/>
              <w:bottom w:val="nil"/>
              <w:right w:val="nil"/>
            </w:tcBorders>
            <w:vAlign w:val="center"/>
          </w:tcPr>
          <w:p w14:paraId="5E10E974" w14:textId="77777777" w:rsidR="003379BD" w:rsidRDefault="003379BD" w:rsidP="00DF0FF9">
            <w:pPr>
              <w:pStyle w:val="Heading4"/>
              <w:spacing w:before="0"/>
            </w:pPr>
            <w:r>
              <w:t>RECOMMENDED</w:t>
            </w:r>
          </w:p>
          <w:p w14:paraId="49D8F2E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2EACFF3" w14:textId="77777777" w:rsidR="003379BD" w:rsidRDefault="003379BD" w:rsidP="00DF0FF9">
            <w:pPr>
              <w:pStyle w:val="Heading4"/>
              <w:spacing w:before="0"/>
              <w:rPr>
                <w:b w:val="0"/>
              </w:rPr>
            </w:pPr>
            <w:r>
              <w:t>ANTICIPATED</w:t>
            </w:r>
            <w:r w:rsidR="00DF0FF9">
              <w:t xml:space="preserve"> </w:t>
            </w:r>
            <w:r>
              <w:t>DOSAGE RANGE</w:t>
            </w:r>
          </w:p>
        </w:tc>
      </w:tr>
      <w:tr w:rsidR="00652CEE" w14:paraId="1288C81B" w14:textId="77777777" w:rsidTr="00652CEE">
        <w:trPr>
          <w:cantSplit/>
        </w:trPr>
        <w:tc>
          <w:tcPr>
            <w:tcW w:w="2448" w:type="dxa"/>
            <w:tcBorders>
              <w:top w:val="single" w:sz="4" w:space="0" w:color="auto"/>
              <w:left w:val="nil"/>
              <w:bottom w:val="single" w:sz="4" w:space="0" w:color="auto"/>
            </w:tcBorders>
          </w:tcPr>
          <w:p w14:paraId="7E4D98F6" w14:textId="77777777" w:rsidR="00652CEE" w:rsidRDefault="00652CEE" w:rsidP="007935E7">
            <w:pPr>
              <w:rPr>
                <w:sz w:val="22"/>
              </w:rPr>
            </w:pPr>
            <w:r>
              <w:rPr>
                <w:sz w:val="22"/>
              </w:rPr>
              <w:t>Atypical Antipsychotic</w:t>
            </w:r>
          </w:p>
        </w:tc>
        <w:tc>
          <w:tcPr>
            <w:tcW w:w="2340" w:type="dxa"/>
            <w:gridSpan w:val="3"/>
            <w:tcBorders>
              <w:top w:val="single" w:sz="4" w:space="0" w:color="auto"/>
              <w:bottom w:val="single" w:sz="4" w:space="0" w:color="auto"/>
              <w:right w:val="nil"/>
            </w:tcBorders>
          </w:tcPr>
          <w:p w14:paraId="01F209CF" w14:textId="77777777" w:rsidR="00652CEE" w:rsidRDefault="00652CEE" w:rsidP="007935E7">
            <w:pPr>
              <w:tabs>
                <w:tab w:val="left" w:pos="702"/>
                <w:tab w:val="left" w:pos="882"/>
                <w:tab w:val="left" w:pos="1152"/>
                <w:tab w:val="left" w:pos="1602"/>
              </w:tabs>
              <w:rPr>
                <w:sz w:val="22"/>
              </w:rPr>
            </w:pPr>
            <w:proofErr w:type="spellStart"/>
            <w:r>
              <w:rPr>
                <w:sz w:val="22"/>
              </w:rPr>
              <w:t>Aristada</w:t>
            </w:r>
            <w:proofErr w:type="spellEnd"/>
          </w:p>
          <w:p w14:paraId="3D6F082A" w14:textId="77777777" w:rsidR="00652CEE" w:rsidRDefault="00652CEE" w:rsidP="007935E7">
            <w:pPr>
              <w:tabs>
                <w:tab w:val="left" w:pos="702"/>
                <w:tab w:val="left" w:pos="882"/>
                <w:tab w:val="left" w:pos="1152"/>
                <w:tab w:val="left" w:pos="1602"/>
              </w:tabs>
              <w:rPr>
                <w:sz w:val="22"/>
              </w:rPr>
            </w:pPr>
            <w:r>
              <w:rPr>
                <w:sz w:val="22"/>
              </w:rPr>
              <w:t>(a</w:t>
            </w:r>
            <w:r w:rsidRPr="00AB6255">
              <w:rPr>
                <w:sz w:val="22"/>
              </w:rPr>
              <w:t xml:space="preserve">ripiprazole </w:t>
            </w:r>
            <w:proofErr w:type="spellStart"/>
            <w:r>
              <w:rPr>
                <w:sz w:val="22"/>
              </w:rPr>
              <w:t>l</w:t>
            </w:r>
            <w:r w:rsidRPr="00AB6255">
              <w:rPr>
                <w:sz w:val="22"/>
              </w:rPr>
              <w:t>auroxil</w:t>
            </w:r>
            <w:proofErr w:type="spellEnd"/>
            <w:r>
              <w:rPr>
                <w:sz w:val="22"/>
              </w:rPr>
              <w:t>)</w:t>
            </w:r>
          </w:p>
        </w:tc>
        <w:tc>
          <w:tcPr>
            <w:tcW w:w="5220" w:type="dxa"/>
            <w:gridSpan w:val="5"/>
            <w:tcBorders>
              <w:top w:val="single" w:sz="4" w:space="0" w:color="auto"/>
              <w:bottom w:val="single" w:sz="4" w:space="0" w:color="auto"/>
              <w:right w:val="nil"/>
            </w:tcBorders>
            <w:vAlign w:val="center"/>
          </w:tcPr>
          <w:p w14:paraId="6799156A" w14:textId="77777777" w:rsidR="00652CEE" w:rsidRPr="00AB6255" w:rsidRDefault="00652CEE" w:rsidP="00652CEE">
            <w:pPr>
              <w:numPr>
                <w:ilvl w:val="0"/>
                <w:numId w:val="5"/>
              </w:numPr>
              <w:rPr>
                <w:sz w:val="22"/>
              </w:rPr>
            </w:pPr>
            <w:r w:rsidRPr="00AB6255">
              <w:rPr>
                <w:sz w:val="22"/>
              </w:rPr>
              <w:t xml:space="preserve">Prior to initiating treatment with the extended-release IM formulation, establish tolerability with oral aripiprazole, </w:t>
            </w:r>
            <w:r>
              <w:rPr>
                <w:sz w:val="22"/>
              </w:rPr>
              <w:t>which may take up to 2 weeks.</w:t>
            </w:r>
          </w:p>
          <w:p w14:paraId="76D77266" w14:textId="77777777" w:rsidR="00652CEE" w:rsidRDefault="00652CEE" w:rsidP="00652CEE">
            <w:pPr>
              <w:numPr>
                <w:ilvl w:val="0"/>
                <w:numId w:val="5"/>
              </w:numPr>
              <w:rPr>
                <w:sz w:val="22"/>
              </w:rPr>
            </w:pPr>
            <w:r w:rsidRPr="00AB6255">
              <w:rPr>
                <w:sz w:val="22"/>
              </w:rPr>
              <w:t>Initial, 441 mg IM (deltoid or gluteal) once monthly OR 662 mg IM (gluteal only) once monthly OR 882 mg IM (gluteal only) once monthly or every 6 weeks. Individualize based on established tolerability to oral dosing: if on 10 mg/day orally, give 441 mg IM/month; 15 mg/day orally, give 662 mg IM/month; 20 mg/day or greater orally, give 882 mg IM/month. Administer with oral aripiprazole for 21 days in conjunction with the initial IM injection</w:t>
            </w:r>
            <w:r>
              <w:rPr>
                <w:sz w:val="22"/>
              </w:rPr>
              <w:t>.</w:t>
            </w:r>
          </w:p>
        </w:tc>
        <w:tc>
          <w:tcPr>
            <w:tcW w:w="1440" w:type="dxa"/>
            <w:tcBorders>
              <w:top w:val="single" w:sz="4" w:space="0" w:color="auto"/>
              <w:bottom w:val="single" w:sz="4" w:space="0" w:color="auto"/>
              <w:right w:val="nil"/>
            </w:tcBorders>
            <w:vAlign w:val="center"/>
          </w:tcPr>
          <w:p w14:paraId="424CACAA" w14:textId="77777777" w:rsidR="00652CEE" w:rsidRDefault="00652CE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4E5838B5" w14:textId="77777777">
        <w:trPr>
          <w:cantSplit/>
          <w:trHeight w:hRule="exact" w:val="1200"/>
        </w:trPr>
        <w:tc>
          <w:tcPr>
            <w:tcW w:w="11448" w:type="dxa"/>
            <w:gridSpan w:val="10"/>
            <w:tcBorders>
              <w:top w:val="nil"/>
              <w:left w:val="nil"/>
              <w:bottom w:val="single" w:sz="4" w:space="0" w:color="auto"/>
              <w:right w:val="nil"/>
            </w:tcBorders>
          </w:tcPr>
          <w:p w14:paraId="24717F3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12923F0"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12547D5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E0237">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E0237">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E0237">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563D8EBD" w14:textId="77777777">
        <w:trPr>
          <w:cantSplit/>
          <w:trHeight w:hRule="exact" w:val="600"/>
        </w:trPr>
        <w:tc>
          <w:tcPr>
            <w:tcW w:w="11448" w:type="dxa"/>
            <w:gridSpan w:val="10"/>
            <w:tcBorders>
              <w:top w:val="single" w:sz="4" w:space="0" w:color="auto"/>
              <w:left w:val="nil"/>
              <w:bottom w:val="nil"/>
              <w:right w:val="nil"/>
            </w:tcBorders>
          </w:tcPr>
          <w:p w14:paraId="29845F02" w14:textId="567AC48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501D78">
              <w:rPr>
                <w:b w:val="0"/>
              </w:rPr>
              <w:t>impression (</w:t>
            </w:r>
            <w:r w:rsidRPr="00097390">
              <w:rPr>
                <w:b w:val="0"/>
              </w:rPr>
              <w:t>“working hypothesis</w:t>
            </w:r>
            <w:r w:rsidR="0031599E" w:rsidRPr="00097390">
              <w:rPr>
                <w:b w:val="0"/>
              </w:rPr>
              <w:t>.”</w:t>
            </w:r>
            <w:r w:rsidR="00501D78">
              <w:rPr>
                <w:b w:val="0"/>
              </w:rPr>
              <w:t>)</w:t>
            </w:r>
          </w:p>
        </w:tc>
      </w:tr>
      <w:tr w:rsidR="003379BD" w14:paraId="3425A7DD" w14:textId="77777777" w:rsidTr="00DB06DB">
        <w:trPr>
          <w:cantSplit/>
          <w:trHeight w:val="317"/>
        </w:trPr>
        <w:tc>
          <w:tcPr>
            <w:tcW w:w="11448" w:type="dxa"/>
            <w:gridSpan w:val="10"/>
            <w:tcBorders>
              <w:top w:val="nil"/>
              <w:left w:val="nil"/>
              <w:bottom w:val="single" w:sz="4" w:space="0" w:color="auto"/>
              <w:right w:val="nil"/>
            </w:tcBorders>
          </w:tcPr>
          <w:p w14:paraId="1299DFA6"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2597E6FA" w14:textId="77777777">
        <w:trPr>
          <w:cantSplit/>
          <w:trHeight w:val="240"/>
        </w:trPr>
        <w:tc>
          <w:tcPr>
            <w:tcW w:w="11448" w:type="dxa"/>
            <w:gridSpan w:val="10"/>
            <w:tcBorders>
              <w:top w:val="single" w:sz="4" w:space="0" w:color="auto"/>
              <w:left w:val="nil"/>
              <w:bottom w:val="nil"/>
              <w:right w:val="nil"/>
            </w:tcBorders>
          </w:tcPr>
          <w:p w14:paraId="23A5AAD8"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DE702D3" w14:textId="77777777">
        <w:trPr>
          <w:cantSplit/>
          <w:trHeight w:val="240"/>
        </w:trPr>
        <w:tc>
          <w:tcPr>
            <w:tcW w:w="5724" w:type="dxa"/>
            <w:gridSpan w:val="5"/>
            <w:tcBorders>
              <w:top w:val="nil"/>
              <w:left w:val="nil"/>
              <w:bottom w:val="nil"/>
              <w:right w:val="nil"/>
            </w:tcBorders>
            <w:vAlign w:val="center"/>
          </w:tcPr>
          <w:p w14:paraId="4F84DBB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36EEB01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72EE1FB" w14:textId="77777777">
        <w:trPr>
          <w:cantSplit/>
          <w:trHeight w:val="240"/>
        </w:trPr>
        <w:tc>
          <w:tcPr>
            <w:tcW w:w="5724" w:type="dxa"/>
            <w:gridSpan w:val="5"/>
            <w:tcBorders>
              <w:top w:val="nil"/>
              <w:left w:val="nil"/>
              <w:bottom w:val="nil"/>
              <w:right w:val="nil"/>
            </w:tcBorders>
            <w:vAlign w:val="center"/>
          </w:tcPr>
          <w:p w14:paraId="226464F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0083465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E6C0640" w14:textId="77777777">
        <w:trPr>
          <w:cantSplit/>
          <w:trHeight w:val="240"/>
        </w:trPr>
        <w:tc>
          <w:tcPr>
            <w:tcW w:w="5724" w:type="dxa"/>
            <w:gridSpan w:val="5"/>
            <w:tcBorders>
              <w:top w:val="nil"/>
              <w:left w:val="nil"/>
              <w:bottom w:val="nil"/>
              <w:right w:val="nil"/>
            </w:tcBorders>
            <w:vAlign w:val="center"/>
          </w:tcPr>
          <w:p w14:paraId="6CA03A9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59F59BE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5F992FC" w14:textId="77777777" w:rsidTr="00DB06DB">
        <w:trPr>
          <w:cantSplit/>
          <w:trHeight w:val="317"/>
        </w:trPr>
        <w:tc>
          <w:tcPr>
            <w:tcW w:w="11448" w:type="dxa"/>
            <w:gridSpan w:val="10"/>
            <w:tcBorders>
              <w:top w:val="nil"/>
              <w:left w:val="nil"/>
              <w:bottom w:val="nil"/>
              <w:right w:val="nil"/>
            </w:tcBorders>
          </w:tcPr>
          <w:p w14:paraId="5138AAB4"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5BBBDE7A" w14:textId="77777777" w:rsidTr="007473D0">
        <w:trPr>
          <w:cantSplit/>
          <w:trHeight w:hRule="exact" w:val="95"/>
        </w:trPr>
        <w:tc>
          <w:tcPr>
            <w:tcW w:w="11448" w:type="dxa"/>
            <w:gridSpan w:val="10"/>
            <w:tcBorders>
              <w:top w:val="nil"/>
              <w:left w:val="nil"/>
              <w:bottom w:val="single" w:sz="4" w:space="0" w:color="auto"/>
              <w:right w:val="nil"/>
            </w:tcBorders>
          </w:tcPr>
          <w:p w14:paraId="52888DFC" w14:textId="77777777" w:rsidR="003379BD" w:rsidRDefault="003379BD">
            <w:pPr>
              <w:pStyle w:val="Heading4"/>
              <w:tabs>
                <w:tab w:val="left" w:pos="540"/>
              </w:tabs>
              <w:spacing w:before="0"/>
              <w:jc w:val="left"/>
            </w:pPr>
          </w:p>
        </w:tc>
      </w:tr>
      <w:tr w:rsidR="003379BD" w14:paraId="7228A3CB" w14:textId="77777777">
        <w:trPr>
          <w:cantSplit/>
          <w:trHeight w:hRule="exact" w:val="240"/>
        </w:trPr>
        <w:tc>
          <w:tcPr>
            <w:tcW w:w="11448" w:type="dxa"/>
            <w:gridSpan w:val="10"/>
            <w:tcBorders>
              <w:top w:val="nil"/>
              <w:left w:val="nil"/>
              <w:bottom w:val="nil"/>
              <w:right w:val="nil"/>
            </w:tcBorders>
          </w:tcPr>
          <w:p w14:paraId="5152D7AB"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18B7898" w14:textId="77777777" w:rsidTr="00934FD5">
        <w:trPr>
          <w:cantSplit/>
          <w:trHeight w:val="288"/>
        </w:trPr>
        <w:tc>
          <w:tcPr>
            <w:tcW w:w="3816" w:type="dxa"/>
            <w:gridSpan w:val="2"/>
            <w:tcBorders>
              <w:top w:val="nil"/>
              <w:left w:val="nil"/>
              <w:bottom w:val="nil"/>
              <w:right w:val="nil"/>
            </w:tcBorders>
            <w:vAlign w:val="center"/>
          </w:tcPr>
          <w:p w14:paraId="1C20996F"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E0237">
              <w:rPr>
                <w:b w:val="0"/>
              </w:rPr>
            </w:r>
            <w:r w:rsidR="00AE0237">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9AB0660"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E0237">
              <w:rPr>
                <w:b w:val="0"/>
              </w:rPr>
            </w:r>
            <w:r w:rsidR="00AE0237">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21205C8E"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E0237">
              <w:rPr>
                <w:b w:val="0"/>
              </w:rPr>
            </w:r>
            <w:r w:rsidR="00AE0237">
              <w:rPr>
                <w:b w:val="0"/>
              </w:rPr>
              <w:fldChar w:fldCharType="separate"/>
            </w:r>
            <w:r>
              <w:rPr>
                <w:b w:val="0"/>
              </w:rPr>
              <w:fldChar w:fldCharType="end"/>
            </w:r>
            <w:bookmarkEnd w:id="19"/>
            <w:r>
              <w:rPr>
                <w:b w:val="0"/>
              </w:rPr>
              <w:t xml:space="preserve"> Social Functioning</w:t>
            </w:r>
          </w:p>
        </w:tc>
      </w:tr>
      <w:tr w:rsidR="003379BD" w14:paraId="629FBF1B" w14:textId="77777777">
        <w:trPr>
          <w:cantSplit/>
          <w:trHeight w:val="240"/>
        </w:trPr>
        <w:tc>
          <w:tcPr>
            <w:tcW w:w="3816" w:type="dxa"/>
            <w:gridSpan w:val="2"/>
            <w:tcBorders>
              <w:top w:val="nil"/>
              <w:left w:val="nil"/>
              <w:bottom w:val="nil"/>
              <w:right w:val="nil"/>
            </w:tcBorders>
          </w:tcPr>
          <w:p w14:paraId="0E9E443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8AC12D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C5C0E5D" w14:textId="77777777" w:rsidR="003379BD" w:rsidRDefault="003379BD">
            <w:pPr>
              <w:pStyle w:val="Heading4"/>
              <w:tabs>
                <w:tab w:val="left" w:pos="540"/>
              </w:tabs>
              <w:jc w:val="left"/>
              <w:rPr>
                <w:b w:val="0"/>
              </w:rPr>
            </w:pPr>
          </w:p>
        </w:tc>
      </w:tr>
      <w:tr w:rsidR="003379BD" w14:paraId="6381A1B9" w14:textId="77777777">
        <w:trPr>
          <w:cantSplit/>
          <w:trHeight w:val="192"/>
        </w:trPr>
        <w:tc>
          <w:tcPr>
            <w:tcW w:w="5724" w:type="dxa"/>
            <w:gridSpan w:val="5"/>
            <w:tcBorders>
              <w:top w:val="nil"/>
              <w:left w:val="nil"/>
              <w:bottom w:val="nil"/>
              <w:right w:val="nil"/>
            </w:tcBorders>
          </w:tcPr>
          <w:p w14:paraId="257346E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5274BCF3" w14:textId="77777777" w:rsidR="003379BD" w:rsidRDefault="003379BD">
            <w:pPr>
              <w:pStyle w:val="Heading4"/>
              <w:tabs>
                <w:tab w:val="left" w:pos="540"/>
              </w:tabs>
              <w:jc w:val="left"/>
              <w:rPr>
                <w:b w:val="0"/>
              </w:rPr>
            </w:pPr>
          </w:p>
        </w:tc>
      </w:tr>
      <w:bookmarkStart w:id="20" w:name="_Hlk151783589"/>
      <w:tr w:rsidR="003379BD" w14:paraId="38141BD6" w14:textId="77777777">
        <w:trPr>
          <w:cantSplit/>
          <w:trHeight w:val="192"/>
        </w:trPr>
        <w:tc>
          <w:tcPr>
            <w:tcW w:w="5724" w:type="dxa"/>
            <w:gridSpan w:val="5"/>
            <w:tcBorders>
              <w:top w:val="nil"/>
              <w:left w:val="nil"/>
              <w:bottom w:val="nil"/>
              <w:right w:val="nil"/>
            </w:tcBorders>
            <w:vAlign w:val="center"/>
          </w:tcPr>
          <w:p w14:paraId="7F26222D"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E0237">
              <w:rPr>
                <w:b w:val="0"/>
              </w:rPr>
            </w:r>
            <w:r w:rsidR="00AE0237">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74FA0EBB"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E0237">
              <w:rPr>
                <w:b w:val="0"/>
              </w:rPr>
            </w:r>
            <w:r w:rsidR="00AE0237">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A7B4983" w14:textId="77777777">
        <w:trPr>
          <w:cantSplit/>
          <w:trHeight w:val="192"/>
        </w:trPr>
        <w:tc>
          <w:tcPr>
            <w:tcW w:w="5724" w:type="dxa"/>
            <w:gridSpan w:val="5"/>
            <w:tcBorders>
              <w:top w:val="nil"/>
              <w:left w:val="nil"/>
              <w:bottom w:val="nil"/>
              <w:right w:val="nil"/>
            </w:tcBorders>
            <w:vAlign w:val="center"/>
          </w:tcPr>
          <w:p w14:paraId="767CBCFA"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E0237">
              <w:rPr>
                <w:b w:val="0"/>
              </w:rPr>
            </w:r>
            <w:r w:rsidR="00AE0237">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2A6AB3AA"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E0237">
              <w:rPr>
                <w:b w:val="0"/>
              </w:rPr>
            </w:r>
            <w:r w:rsidR="00AE0237">
              <w:rPr>
                <w:b w:val="0"/>
              </w:rPr>
              <w:fldChar w:fldCharType="separate"/>
            </w:r>
            <w:r>
              <w:rPr>
                <w:b w:val="0"/>
              </w:rPr>
              <w:fldChar w:fldCharType="end"/>
            </w:r>
            <w:bookmarkEnd w:id="24"/>
            <w:r>
              <w:rPr>
                <w:b w:val="0"/>
              </w:rPr>
              <w:t xml:space="preserve"> Intervention of law enforcement authorities</w:t>
            </w:r>
          </w:p>
        </w:tc>
      </w:tr>
      <w:tr w:rsidR="003379BD" w14:paraId="61811A5B" w14:textId="77777777">
        <w:trPr>
          <w:cantSplit/>
          <w:trHeight w:val="192"/>
        </w:trPr>
        <w:tc>
          <w:tcPr>
            <w:tcW w:w="5724" w:type="dxa"/>
            <w:gridSpan w:val="5"/>
            <w:tcBorders>
              <w:top w:val="nil"/>
              <w:left w:val="nil"/>
              <w:bottom w:val="nil"/>
              <w:right w:val="nil"/>
            </w:tcBorders>
            <w:vAlign w:val="center"/>
          </w:tcPr>
          <w:p w14:paraId="46C00EBD"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E0237">
              <w:rPr>
                <w:b w:val="0"/>
              </w:rPr>
            </w:r>
            <w:r w:rsidR="00AE0237">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510254E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E0237">
              <w:rPr>
                <w:b w:val="0"/>
              </w:rPr>
            </w:r>
            <w:r w:rsidR="00AE0237">
              <w:rPr>
                <w:b w:val="0"/>
              </w:rPr>
              <w:fldChar w:fldCharType="separate"/>
            </w:r>
            <w:r>
              <w:rPr>
                <w:b w:val="0"/>
              </w:rPr>
              <w:fldChar w:fldCharType="end"/>
            </w:r>
            <w:bookmarkEnd w:id="26"/>
            <w:r>
              <w:rPr>
                <w:b w:val="0"/>
              </w:rPr>
              <w:t xml:space="preserve"> Risk of harm to self or others</w:t>
            </w:r>
          </w:p>
        </w:tc>
      </w:tr>
      <w:tr w:rsidR="003379BD" w14:paraId="1A7D0DF9" w14:textId="77777777">
        <w:trPr>
          <w:cantSplit/>
          <w:trHeight w:val="192"/>
        </w:trPr>
        <w:tc>
          <w:tcPr>
            <w:tcW w:w="5724" w:type="dxa"/>
            <w:gridSpan w:val="5"/>
            <w:tcBorders>
              <w:top w:val="nil"/>
              <w:left w:val="nil"/>
              <w:bottom w:val="nil"/>
              <w:right w:val="nil"/>
            </w:tcBorders>
            <w:vAlign w:val="center"/>
          </w:tcPr>
          <w:p w14:paraId="30DD047A"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E0237">
              <w:rPr>
                <w:b w:val="0"/>
              </w:rPr>
            </w:r>
            <w:r w:rsidR="00AE0237">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2A0199FB" w14:textId="77777777" w:rsidR="003379BD" w:rsidRDefault="003379BD">
            <w:pPr>
              <w:pStyle w:val="Heading4"/>
              <w:tabs>
                <w:tab w:val="left" w:pos="540"/>
              </w:tabs>
              <w:spacing w:before="0"/>
              <w:jc w:val="left"/>
              <w:rPr>
                <w:b w:val="0"/>
              </w:rPr>
            </w:pPr>
          </w:p>
        </w:tc>
      </w:tr>
      <w:bookmarkEnd w:id="20"/>
      <w:tr w:rsidR="003379BD" w14:paraId="3D842CBE" w14:textId="77777777" w:rsidTr="00DB06DB">
        <w:trPr>
          <w:cantSplit/>
          <w:trHeight w:val="317"/>
        </w:trPr>
        <w:tc>
          <w:tcPr>
            <w:tcW w:w="11448" w:type="dxa"/>
            <w:gridSpan w:val="10"/>
            <w:tcBorders>
              <w:top w:val="nil"/>
              <w:left w:val="nil"/>
              <w:bottom w:val="single" w:sz="4" w:space="0" w:color="auto"/>
              <w:right w:val="nil"/>
            </w:tcBorders>
          </w:tcPr>
          <w:p w14:paraId="4A8DD07D"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0576931" w14:textId="77777777">
        <w:trPr>
          <w:cantSplit/>
          <w:trHeight w:hRule="exact" w:val="440"/>
        </w:trPr>
        <w:tc>
          <w:tcPr>
            <w:tcW w:w="11448" w:type="dxa"/>
            <w:gridSpan w:val="10"/>
            <w:tcBorders>
              <w:top w:val="single" w:sz="4" w:space="0" w:color="auto"/>
              <w:left w:val="nil"/>
              <w:bottom w:val="single" w:sz="4" w:space="0" w:color="auto"/>
              <w:right w:val="nil"/>
            </w:tcBorders>
          </w:tcPr>
          <w:p w14:paraId="12B54CFE"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46B4A20" w14:textId="77777777" w:rsidR="003379BD" w:rsidRDefault="00464819">
      <w:pPr>
        <w:jc w:val="right"/>
        <w:rPr>
          <w:rFonts w:ascii="Arial" w:hAnsi="Arial"/>
          <w:sz w:val="18"/>
        </w:rPr>
      </w:pPr>
      <w:r>
        <w:rPr>
          <w:rFonts w:ascii="Arial" w:hAnsi="Arial"/>
          <w:sz w:val="18"/>
        </w:rPr>
        <w:t>See Page 2</w:t>
      </w:r>
    </w:p>
    <w:p w14:paraId="630798D8" w14:textId="77777777" w:rsidR="003379BD" w:rsidRPr="007A6FC3" w:rsidRDefault="003379BD" w:rsidP="00652CEE">
      <w:pPr>
        <w:pageBreakBefore/>
        <w:rPr>
          <w:rFonts w:ascii="Arial" w:hAnsi="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652CEE" w14:paraId="5F6587F7" w14:textId="77777777">
        <w:trPr>
          <w:tblHeader/>
        </w:trPr>
        <w:tc>
          <w:tcPr>
            <w:tcW w:w="4788" w:type="dxa"/>
            <w:tcBorders>
              <w:top w:val="nil"/>
              <w:left w:val="nil"/>
              <w:bottom w:val="nil"/>
              <w:right w:val="nil"/>
            </w:tcBorders>
          </w:tcPr>
          <w:p w14:paraId="357F93E6" w14:textId="77777777" w:rsidR="00652CEE" w:rsidRDefault="00652CEE">
            <w:pPr>
              <w:spacing w:after="120"/>
              <w:rPr>
                <w:rFonts w:ascii="Arial" w:hAnsi="Arial"/>
                <w:sz w:val="18"/>
              </w:rPr>
            </w:pPr>
            <w:r>
              <w:rPr>
                <w:rFonts w:ascii="Arial" w:hAnsi="Arial"/>
                <w:sz w:val="16"/>
              </w:rPr>
              <w:t xml:space="preserve">F-24277  </w:t>
            </w:r>
          </w:p>
        </w:tc>
        <w:tc>
          <w:tcPr>
            <w:tcW w:w="6660" w:type="dxa"/>
            <w:tcBorders>
              <w:top w:val="nil"/>
              <w:left w:val="nil"/>
              <w:bottom w:val="nil"/>
              <w:right w:val="nil"/>
            </w:tcBorders>
          </w:tcPr>
          <w:p w14:paraId="7A59BAF0" w14:textId="77777777" w:rsidR="00652CEE" w:rsidRDefault="00652CEE" w:rsidP="007935E7">
            <w:pPr>
              <w:tabs>
                <w:tab w:val="left" w:pos="702"/>
                <w:tab w:val="left" w:pos="882"/>
                <w:tab w:val="left" w:pos="1152"/>
                <w:tab w:val="left" w:pos="1602"/>
              </w:tabs>
              <w:rPr>
                <w:rFonts w:ascii="Arial" w:hAnsi="Arial"/>
                <w:sz w:val="18"/>
              </w:rPr>
            </w:pPr>
            <w:r>
              <w:rPr>
                <w:rFonts w:ascii="Arial" w:hAnsi="Arial"/>
                <w:sz w:val="18"/>
              </w:rPr>
              <w:t xml:space="preserve">Medication: </w:t>
            </w:r>
            <w:proofErr w:type="spellStart"/>
            <w:r>
              <w:rPr>
                <w:sz w:val="22"/>
              </w:rPr>
              <w:t>Aristada</w:t>
            </w:r>
            <w:proofErr w:type="spellEnd"/>
            <w:r w:rsidRPr="00097390">
              <w:rPr>
                <w:sz w:val="22"/>
              </w:rPr>
              <w:t xml:space="preserve"> </w:t>
            </w:r>
            <w:r>
              <w:rPr>
                <w:rFonts w:ascii="Arial" w:hAnsi="Arial" w:cs="Arial"/>
                <w:sz w:val="18"/>
              </w:rPr>
              <w:t>–</w:t>
            </w:r>
            <w:r>
              <w:rPr>
                <w:rFonts w:ascii="Arial" w:hAnsi="Arial"/>
                <w:sz w:val="18"/>
              </w:rPr>
              <w:t xml:space="preserve"> (</w:t>
            </w:r>
            <w:r w:rsidRPr="00AB6255">
              <w:rPr>
                <w:sz w:val="22"/>
              </w:rPr>
              <w:t xml:space="preserve">Aripiprazole </w:t>
            </w:r>
            <w:proofErr w:type="spellStart"/>
            <w:r w:rsidRPr="00AB6255">
              <w:rPr>
                <w:sz w:val="22"/>
              </w:rPr>
              <w:t>Lauroxil</w:t>
            </w:r>
            <w:proofErr w:type="spellEnd"/>
            <w:r>
              <w:rPr>
                <w:rFonts w:ascii="Arial" w:hAnsi="Arial"/>
                <w:sz w:val="18"/>
              </w:rPr>
              <w:t>)</w:t>
            </w:r>
          </w:p>
        </w:tc>
      </w:tr>
      <w:tr w:rsidR="003379BD" w14:paraId="795E6477" w14:textId="77777777">
        <w:trPr>
          <w:cantSplit/>
        </w:trPr>
        <w:tc>
          <w:tcPr>
            <w:tcW w:w="11448" w:type="dxa"/>
            <w:gridSpan w:val="2"/>
            <w:tcBorders>
              <w:top w:val="single" w:sz="4" w:space="0" w:color="auto"/>
              <w:left w:val="nil"/>
              <w:bottom w:val="single" w:sz="4" w:space="0" w:color="auto"/>
              <w:right w:val="nil"/>
            </w:tcBorders>
          </w:tcPr>
          <w:p w14:paraId="551DF575"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1A7E060" w14:textId="77777777" w:rsidTr="008768D6">
        <w:trPr>
          <w:trHeight w:val="864"/>
        </w:trPr>
        <w:tc>
          <w:tcPr>
            <w:tcW w:w="11448" w:type="dxa"/>
            <w:gridSpan w:val="2"/>
            <w:tcBorders>
              <w:top w:val="single" w:sz="4" w:space="0" w:color="auto"/>
              <w:left w:val="nil"/>
              <w:bottom w:val="nil"/>
              <w:right w:val="nil"/>
            </w:tcBorders>
          </w:tcPr>
          <w:p w14:paraId="354116B4"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D10B968" w14:textId="77777777" w:rsidR="0021563E" w:rsidRDefault="003379BD" w:rsidP="00AD441D">
            <w:pPr>
              <w:pStyle w:val="Heading6"/>
              <w:spacing w:before="120"/>
              <w:rPr>
                <w:sz w:val="18"/>
                <w:szCs w:val="18"/>
              </w:rPr>
            </w:pPr>
            <w:r w:rsidRPr="0056414C">
              <w:rPr>
                <w:sz w:val="18"/>
                <w:szCs w:val="18"/>
              </w:rPr>
              <w:t>Most Common Side Effects</w:t>
            </w:r>
          </w:p>
          <w:p w14:paraId="25A57F3C" w14:textId="77777777" w:rsidR="00652CEE" w:rsidRPr="00E0758D" w:rsidRDefault="00652CEE" w:rsidP="00652CEE">
            <w:pPr>
              <w:pStyle w:val="Heading6"/>
              <w:numPr>
                <w:ilvl w:val="0"/>
                <w:numId w:val="7"/>
              </w:numPr>
              <w:rPr>
                <w:rFonts w:cs="Arial"/>
                <w:b w:val="0"/>
                <w:sz w:val="18"/>
                <w:szCs w:val="18"/>
              </w:rPr>
            </w:pPr>
            <w:r w:rsidRPr="00E0758D">
              <w:rPr>
                <w:rFonts w:cs="Arial"/>
                <w:b w:val="0"/>
                <w:sz w:val="18"/>
                <w:szCs w:val="18"/>
              </w:rPr>
              <w:t>Dermatologic: Injection site pain (3% to 4%), Injection site reaction (4% to 5%)</w:t>
            </w:r>
            <w:r>
              <w:rPr>
                <w:rFonts w:cs="Arial"/>
                <w:b w:val="0"/>
                <w:sz w:val="18"/>
                <w:szCs w:val="18"/>
              </w:rPr>
              <w:t>.</w:t>
            </w:r>
          </w:p>
          <w:p w14:paraId="590ED9F7" w14:textId="77777777" w:rsidR="00652CEE" w:rsidRPr="00E0758D" w:rsidRDefault="00652CEE" w:rsidP="00652CEE">
            <w:pPr>
              <w:pStyle w:val="Heading6"/>
              <w:numPr>
                <w:ilvl w:val="0"/>
                <w:numId w:val="7"/>
              </w:numPr>
              <w:rPr>
                <w:rFonts w:cs="Arial"/>
                <w:b w:val="0"/>
                <w:sz w:val="18"/>
                <w:szCs w:val="18"/>
              </w:rPr>
            </w:pPr>
            <w:r w:rsidRPr="00E0758D">
              <w:rPr>
                <w:rFonts w:cs="Arial"/>
                <w:b w:val="0"/>
                <w:sz w:val="18"/>
                <w:szCs w:val="18"/>
              </w:rPr>
              <w:t>Endocrine metabolic: Weight increased (2% to 10%)</w:t>
            </w:r>
            <w:r>
              <w:rPr>
                <w:rFonts w:cs="Arial"/>
                <w:b w:val="0"/>
                <w:sz w:val="18"/>
                <w:szCs w:val="18"/>
              </w:rPr>
              <w:t>.</w:t>
            </w:r>
          </w:p>
          <w:p w14:paraId="29CCC946" w14:textId="77777777" w:rsidR="00652CEE" w:rsidRPr="00652CEE" w:rsidRDefault="00652CEE" w:rsidP="00652CEE">
            <w:pPr>
              <w:numPr>
                <w:ilvl w:val="0"/>
                <w:numId w:val="7"/>
              </w:numPr>
              <w:rPr>
                <w:rFonts w:cs="Arial"/>
                <w:bCs/>
                <w:sz w:val="18"/>
                <w:szCs w:val="18"/>
              </w:rPr>
            </w:pPr>
            <w:r w:rsidRPr="00652CEE">
              <w:rPr>
                <w:rFonts w:cs="Arial"/>
                <w:bCs/>
                <w:sz w:val="18"/>
                <w:szCs w:val="18"/>
              </w:rPr>
              <w:t>Neurologic: Akathisia (11%), Extrapyramidal sign (5% to 7%), Headache (3% to 5%), Insomnia (3% to 4%).</w:t>
            </w:r>
          </w:p>
          <w:p w14:paraId="30525587" w14:textId="77777777" w:rsidR="00652CEE" w:rsidRPr="00652CEE" w:rsidRDefault="00652CEE" w:rsidP="00652CEE"/>
        </w:tc>
      </w:tr>
      <w:tr w:rsidR="003379BD" w14:paraId="592A5967" w14:textId="77777777" w:rsidTr="008768D6">
        <w:trPr>
          <w:trHeight w:val="576"/>
        </w:trPr>
        <w:tc>
          <w:tcPr>
            <w:tcW w:w="11448" w:type="dxa"/>
            <w:gridSpan w:val="2"/>
            <w:tcBorders>
              <w:top w:val="nil"/>
              <w:left w:val="nil"/>
              <w:bottom w:val="nil"/>
              <w:right w:val="nil"/>
            </w:tcBorders>
          </w:tcPr>
          <w:p w14:paraId="0057B5E5"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3FE9BEB3" w14:textId="77777777" w:rsidR="00652CEE" w:rsidRPr="00E0758D" w:rsidRDefault="00652CEE" w:rsidP="00652CEE">
            <w:pPr>
              <w:pStyle w:val="ListParagraph"/>
              <w:numPr>
                <w:ilvl w:val="0"/>
                <w:numId w:val="6"/>
              </w:numPr>
              <w:rPr>
                <w:rFonts w:ascii="Arial" w:hAnsi="Arial" w:cs="Arial"/>
                <w:sz w:val="18"/>
                <w:szCs w:val="18"/>
              </w:rPr>
            </w:pPr>
            <w:r w:rsidRPr="00E0758D">
              <w:rPr>
                <w:rFonts w:ascii="Arial" w:hAnsi="Arial" w:cs="Arial"/>
                <w:sz w:val="18"/>
                <w:szCs w:val="18"/>
              </w:rPr>
              <w:t>Cardiovascular: Orthostatic hypotension (0.2% to 0.5%)</w:t>
            </w:r>
            <w:r>
              <w:rPr>
                <w:rFonts w:ascii="Arial" w:hAnsi="Arial" w:cs="Arial"/>
                <w:sz w:val="18"/>
                <w:szCs w:val="18"/>
              </w:rPr>
              <w:t>.</w:t>
            </w:r>
          </w:p>
          <w:p w14:paraId="0545AED3" w14:textId="77777777" w:rsidR="00652CEE" w:rsidRPr="00E0758D" w:rsidRDefault="00652CEE" w:rsidP="00652CEE">
            <w:pPr>
              <w:pStyle w:val="ListParagraph"/>
              <w:numPr>
                <w:ilvl w:val="0"/>
                <w:numId w:val="6"/>
              </w:numPr>
              <w:rPr>
                <w:rFonts w:ascii="Arial" w:hAnsi="Arial" w:cs="Arial"/>
                <w:sz w:val="18"/>
                <w:szCs w:val="18"/>
              </w:rPr>
            </w:pPr>
            <w:r w:rsidRPr="00E0758D">
              <w:rPr>
                <w:rFonts w:ascii="Arial" w:hAnsi="Arial" w:cs="Arial"/>
                <w:sz w:val="18"/>
                <w:szCs w:val="18"/>
              </w:rPr>
              <w:t>Endocrine metabolic: Decreased HDL level (15%), High hemoglobin A1c level (14%), Hyperglycemia, Raised low density lipoprotein cholesterol (1% to 8%), Serum cholesterol raised (1% to 15%), Serum triglycerides raised (8% to 35%)</w:t>
            </w:r>
            <w:r>
              <w:rPr>
                <w:rFonts w:ascii="Arial" w:hAnsi="Arial" w:cs="Arial"/>
                <w:sz w:val="18"/>
                <w:szCs w:val="18"/>
              </w:rPr>
              <w:t>.</w:t>
            </w:r>
          </w:p>
          <w:p w14:paraId="5D5095B0" w14:textId="77777777" w:rsidR="00652CEE" w:rsidRPr="00E0758D" w:rsidRDefault="00652CEE" w:rsidP="00652CEE">
            <w:pPr>
              <w:pStyle w:val="ListParagraph"/>
              <w:numPr>
                <w:ilvl w:val="0"/>
                <w:numId w:val="6"/>
              </w:numPr>
              <w:rPr>
                <w:rFonts w:ascii="Arial" w:hAnsi="Arial" w:cs="Arial"/>
                <w:sz w:val="18"/>
                <w:szCs w:val="18"/>
              </w:rPr>
            </w:pPr>
            <w:r w:rsidRPr="00E0758D">
              <w:rPr>
                <w:rFonts w:ascii="Arial" w:hAnsi="Arial" w:cs="Arial"/>
                <w:sz w:val="18"/>
                <w:szCs w:val="18"/>
              </w:rPr>
              <w:t>Hematologic: Agranulocytosis, Leukopenia, Neutropenia</w:t>
            </w:r>
            <w:r>
              <w:rPr>
                <w:rFonts w:ascii="Arial" w:hAnsi="Arial" w:cs="Arial"/>
                <w:sz w:val="18"/>
                <w:szCs w:val="18"/>
              </w:rPr>
              <w:t>.</w:t>
            </w:r>
          </w:p>
          <w:p w14:paraId="778B7440" w14:textId="77777777" w:rsidR="00652CEE" w:rsidRPr="00E0758D" w:rsidRDefault="00652CEE" w:rsidP="00652CEE">
            <w:pPr>
              <w:pStyle w:val="ListParagraph"/>
              <w:numPr>
                <w:ilvl w:val="0"/>
                <w:numId w:val="6"/>
              </w:numPr>
              <w:rPr>
                <w:rFonts w:ascii="Arial" w:hAnsi="Arial" w:cs="Arial"/>
                <w:sz w:val="18"/>
                <w:szCs w:val="18"/>
              </w:rPr>
            </w:pPr>
            <w:r w:rsidRPr="00E0758D">
              <w:rPr>
                <w:rFonts w:ascii="Arial" w:hAnsi="Arial" w:cs="Arial"/>
                <w:sz w:val="18"/>
                <w:szCs w:val="18"/>
              </w:rPr>
              <w:t xml:space="preserve">Neurologic: Cerebrovascular accident, </w:t>
            </w:r>
            <w:r>
              <w:rPr>
                <w:rFonts w:ascii="Arial" w:hAnsi="Arial" w:cs="Arial"/>
                <w:sz w:val="18"/>
                <w:szCs w:val="18"/>
              </w:rPr>
              <w:t>i</w:t>
            </w:r>
            <w:r w:rsidRPr="00E0758D">
              <w:rPr>
                <w:rFonts w:ascii="Arial" w:hAnsi="Arial" w:cs="Arial"/>
                <w:sz w:val="18"/>
                <w:szCs w:val="18"/>
              </w:rPr>
              <w:t>mpaired cognition, Impaired psychomotor performance, Seizure, Tardive dyskinesia, Transient ischemic attack</w:t>
            </w:r>
            <w:r>
              <w:rPr>
                <w:rFonts w:ascii="Arial" w:hAnsi="Arial" w:cs="Arial"/>
                <w:sz w:val="18"/>
                <w:szCs w:val="18"/>
              </w:rPr>
              <w:t>.</w:t>
            </w:r>
          </w:p>
          <w:p w14:paraId="3BF7A9FF" w14:textId="77777777" w:rsidR="00652CEE" w:rsidRPr="00E0758D" w:rsidRDefault="00652CEE" w:rsidP="00652CEE">
            <w:pPr>
              <w:pStyle w:val="ListParagraph"/>
              <w:numPr>
                <w:ilvl w:val="0"/>
                <w:numId w:val="6"/>
              </w:numPr>
              <w:rPr>
                <w:rFonts w:ascii="Arial" w:hAnsi="Arial" w:cs="Arial"/>
                <w:sz w:val="18"/>
                <w:szCs w:val="18"/>
              </w:rPr>
            </w:pPr>
            <w:r w:rsidRPr="00E0758D">
              <w:rPr>
                <w:rFonts w:ascii="Arial" w:hAnsi="Arial" w:cs="Arial"/>
                <w:sz w:val="18"/>
                <w:szCs w:val="18"/>
              </w:rPr>
              <w:t>Psychiatric: Suicidal behavior</w:t>
            </w:r>
            <w:r>
              <w:rPr>
                <w:rFonts w:ascii="Arial" w:hAnsi="Arial" w:cs="Arial"/>
                <w:sz w:val="18"/>
                <w:szCs w:val="18"/>
              </w:rPr>
              <w:t>.</w:t>
            </w:r>
          </w:p>
          <w:p w14:paraId="27416119" w14:textId="77777777" w:rsidR="00652CEE" w:rsidRPr="00652CEE" w:rsidRDefault="00652CEE" w:rsidP="00652CEE">
            <w:pPr>
              <w:numPr>
                <w:ilvl w:val="0"/>
                <w:numId w:val="6"/>
              </w:numPr>
              <w:rPr>
                <w:b/>
              </w:rPr>
            </w:pPr>
            <w:r w:rsidRPr="00E0758D">
              <w:rPr>
                <w:rFonts w:ascii="Arial" w:hAnsi="Arial" w:cs="Arial"/>
                <w:sz w:val="18"/>
                <w:szCs w:val="18"/>
              </w:rPr>
              <w:t>Other: Increased body temperature, Neuroleptic malignant syndrome</w:t>
            </w:r>
            <w:r>
              <w:rPr>
                <w:rFonts w:ascii="Arial" w:hAnsi="Arial" w:cs="Arial"/>
                <w:sz w:val="18"/>
                <w:szCs w:val="18"/>
              </w:rPr>
              <w:t>.</w:t>
            </w:r>
          </w:p>
          <w:p w14:paraId="1236BE2C" w14:textId="77777777" w:rsidR="00652CEE" w:rsidRDefault="00652CEE" w:rsidP="00652CEE">
            <w:pPr>
              <w:rPr>
                <w:b/>
              </w:rPr>
            </w:pPr>
          </w:p>
        </w:tc>
      </w:tr>
      <w:tr w:rsidR="003379BD" w14:paraId="04F87286" w14:textId="77777777" w:rsidTr="008768D6">
        <w:trPr>
          <w:trHeight w:val="576"/>
        </w:trPr>
        <w:tc>
          <w:tcPr>
            <w:tcW w:w="11448" w:type="dxa"/>
            <w:gridSpan w:val="2"/>
            <w:tcBorders>
              <w:top w:val="nil"/>
              <w:left w:val="nil"/>
              <w:bottom w:val="nil"/>
              <w:right w:val="nil"/>
            </w:tcBorders>
          </w:tcPr>
          <w:p w14:paraId="48B49FD5"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546478EE"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Body temperature regulation: Disruption in ability to reduce core body temperature has been reported with antipsychotic agents, especially following strenuous exercise, exposure to extreme heat, concomitant anticholinergic medication, or dehydration.</w:t>
            </w:r>
          </w:p>
          <w:p w14:paraId="2D803866"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Cardiovascular: Orthostatic hypotension has been reported; increased risk in patients with preexisting cardiovascular or cerebrovascular disease, dehydration, hypovolemia, and concomitant use of antihypertensives or in patients who are naive to antipsychotic.</w:t>
            </w:r>
          </w:p>
          <w:p w14:paraId="2B007726"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Dosage and duration: Higher cumulative dose and longer treatment duration increase risk of potentially irreversible tardive dyskinesia.</w:t>
            </w:r>
          </w:p>
          <w:p w14:paraId="4BE7BB54"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Endocrine and metabolic: Patients with preexisting or risk factors for diabetes mellitus, including obesity and family history of diabetes, may experience hyperglycemia or worsening of glucose control; monitoring recommended.</w:t>
            </w:r>
          </w:p>
          <w:p w14:paraId="140A6D25"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Endocrine and metabolic: Severe hyperglycemia, sometimes in association with ketoacidosis, hyperosmolar coma, or death, has been reported with atypical antipsychotics</w:t>
            </w:r>
            <w:hyperlink r:id="rId10" w:anchor="cite1_dp" w:history="1"/>
            <w:r w:rsidRPr="00E0758D">
              <w:rPr>
                <w:rFonts w:ascii="Arial" w:hAnsi="Arial" w:cs="Arial"/>
                <w:color w:val="25282A"/>
                <w:sz w:val="18"/>
                <w:szCs w:val="18"/>
              </w:rPr>
              <w:t>.</w:t>
            </w:r>
          </w:p>
          <w:p w14:paraId="6F09DFEF"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Endocrine and metabolic: Dyslipidemia has been reported with atypical antipsychotics</w:t>
            </w:r>
            <w:r>
              <w:rPr>
                <w:rFonts w:ascii="Arial" w:hAnsi="Arial" w:cs="Arial"/>
                <w:color w:val="25282A"/>
                <w:sz w:val="18"/>
                <w:szCs w:val="18"/>
              </w:rPr>
              <w:t>.</w:t>
            </w:r>
          </w:p>
          <w:p w14:paraId="68E0B634"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Endocrine and metabolic: Weight gain has been reported with atypical antipsychotics; monitoring recommended</w:t>
            </w:r>
            <w:r>
              <w:rPr>
                <w:rFonts w:ascii="Arial" w:hAnsi="Arial" w:cs="Arial"/>
                <w:color w:val="25282A"/>
                <w:sz w:val="18"/>
                <w:szCs w:val="18"/>
              </w:rPr>
              <w:t>.</w:t>
            </w:r>
          </w:p>
          <w:p w14:paraId="0FBAD5C4"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Gastrointestinal: Dysphagia has been reported with antipsychotic agents and may result in aspiration pneumonia due to esophageal dysmotility</w:t>
            </w:r>
            <w:hyperlink r:id="rId11" w:anchor="cite1_dp" w:history="1"/>
            <w:r w:rsidRPr="00E0758D">
              <w:rPr>
                <w:rFonts w:ascii="Arial" w:hAnsi="Arial" w:cs="Arial"/>
                <w:color w:val="25282A"/>
                <w:sz w:val="18"/>
                <w:szCs w:val="18"/>
              </w:rPr>
              <w:t>.</w:t>
            </w:r>
          </w:p>
          <w:p w14:paraId="0DA770C3"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Hematologic: Agranulocytosis, leukopenia, and neutropenia have been reported with atypical antipsychotics; risk factors may include history of a low WBC or absolute neutrophil count, leukopenia, or neutropenia; monitoring recommended and discontinuation may be necessary.</w:t>
            </w:r>
          </w:p>
          <w:p w14:paraId="6B9D90ED"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Immunologic: Hypersensitivity reactions have been reported with severity ranging from pruritus or urticaria to anaphylaxis.</w:t>
            </w:r>
          </w:p>
          <w:p w14:paraId="16CDB4C2"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Musculoskeletal: Tardive dyskinesia has been reported and may be irreversible; discontinuation may be required.</w:t>
            </w:r>
          </w:p>
          <w:p w14:paraId="6C9C363D"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Neuroleptic malignant syndrome: Has been reported; may require discontinuation of therapy and medical management; reinitiate therapy with monitoring</w:t>
            </w:r>
            <w:r>
              <w:rPr>
                <w:rFonts w:ascii="Arial" w:hAnsi="Arial" w:cs="Arial"/>
                <w:color w:val="25282A"/>
                <w:sz w:val="18"/>
                <w:szCs w:val="18"/>
              </w:rPr>
              <w:t>.</w:t>
            </w:r>
          </w:p>
          <w:p w14:paraId="3FD9B21A"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Neurologic: Cerebrovascular adverse events, including fatal stroke, have occurred in elderly patients with dementia (unapproved use)</w:t>
            </w:r>
            <w:r>
              <w:rPr>
                <w:rFonts w:ascii="Arial" w:hAnsi="Arial" w:cs="Arial"/>
                <w:color w:val="25282A"/>
                <w:sz w:val="18"/>
                <w:szCs w:val="18"/>
              </w:rPr>
              <w:t>.</w:t>
            </w:r>
          </w:p>
          <w:p w14:paraId="1D9277AC"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 xml:space="preserve">Neurologic: Seizures; increased risk with a history of seizures and conditions that lower seizure threshold </w:t>
            </w:r>
          </w:p>
          <w:p w14:paraId="1705CE5D"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Neurologic: Cognitive and motor impairment is possible; driving or operating machinery not recommended until effects are realized</w:t>
            </w:r>
            <w:r>
              <w:rPr>
                <w:rFonts w:ascii="Arial" w:hAnsi="Arial" w:cs="Arial"/>
                <w:color w:val="25282A"/>
                <w:sz w:val="18"/>
                <w:szCs w:val="18"/>
              </w:rPr>
              <w:t>.</w:t>
            </w:r>
          </w:p>
          <w:p w14:paraId="54CA8732" w14:textId="77777777" w:rsidR="00743C88" w:rsidRPr="00E0758D" w:rsidRDefault="00743C88" w:rsidP="00743C88">
            <w:pPr>
              <w:numPr>
                <w:ilvl w:val="0"/>
                <w:numId w:val="6"/>
              </w:numPr>
              <w:rPr>
                <w:rFonts w:ascii="Arial" w:hAnsi="Arial" w:cs="Arial"/>
                <w:color w:val="25282A"/>
                <w:sz w:val="18"/>
                <w:szCs w:val="18"/>
              </w:rPr>
            </w:pPr>
            <w:r w:rsidRPr="00E0758D">
              <w:rPr>
                <w:rFonts w:ascii="Arial" w:hAnsi="Arial" w:cs="Arial"/>
                <w:color w:val="25282A"/>
                <w:sz w:val="18"/>
                <w:szCs w:val="18"/>
              </w:rPr>
              <w:t>Psychiatric: Compulsive behaviors and impaired impulse control (e</w:t>
            </w:r>
            <w:r>
              <w:rPr>
                <w:rFonts w:ascii="Arial" w:hAnsi="Arial" w:cs="Arial"/>
                <w:color w:val="25282A"/>
                <w:sz w:val="18"/>
                <w:szCs w:val="18"/>
              </w:rPr>
              <w:t>.</w:t>
            </w:r>
            <w:r w:rsidRPr="00E0758D">
              <w:rPr>
                <w:rFonts w:ascii="Arial" w:hAnsi="Arial" w:cs="Arial"/>
                <w:color w:val="25282A"/>
                <w:sz w:val="18"/>
                <w:szCs w:val="18"/>
              </w:rPr>
              <w:t>g</w:t>
            </w:r>
            <w:r>
              <w:rPr>
                <w:rFonts w:ascii="Arial" w:hAnsi="Arial" w:cs="Arial"/>
                <w:color w:val="25282A"/>
                <w:sz w:val="18"/>
                <w:szCs w:val="18"/>
              </w:rPr>
              <w:t>.</w:t>
            </w:r>
            <w:r w:rsidRPr="00E0758D">
              <w:rPr>
                <w:rFonts w:ascii="Arial" w:hAnsi="Arial" w:cs="Arial"/>
                <w:color w:val="25282A"/>
                <w:sz w:val="18"/>
                <w:szCs w:val="18"/>
              </w:rPr>
              <w:t>, urges to gamble, binge eat, shop, increased sexual urges, other intense urges) have been reported; monitoring recommended and dose reduction or discontinuation may be necessary</w:t>
            </w:r>
            <w:r>
              <w:rPr>
                <w:rFonts w:ascii="Arial" w:hAnsi="Arial" w:cs="Arial"/>
                <w:color w:val="25282A"/>
                <w:sz w:val="18"/>
                <w:szCs w:val="18"/>
              </w:rPr>
              <w:t>.</w:t>
            </w:r>
          </w:p>
          <w:p w14:paraId="78B178F4" w14:textId="77777777" w:rsidR="00743C88" w:rsidRPr="000B3C80" w:rsidRDefault="00743C88" w:rsidP="00743C88">
            <w:pPr>
              <w:numPr>
                <w:ilvl w:val="0"/>
                <w:numId w:val="6"/>
              </w:numPr>
              <w:rPr>
                <w:rFonts w:ascii="Arial" w:hAnsi="Arial" w:cs="Arial"/>
                <w:b/>
                <w:sz w:val="18"/>
                <w:szCs w:val="18"/>
              </w:rPr>
            </w:pPr>
            <w:r w:rsidRPr="00E0758D">
              <w:rPr>
                <w:rFonts w:ascii="Arial" w:hAnsi="Arial" w:cs="Arial"/>
                <w:color w:val="25282A"/>
                <w:sz w:val="18"/>
                <w:szCs w:val="18"/>
              </w:rPr>
              <w:t>Special populations: Elderly patients are at increased risk of potentially irreversible tardive dyskinesia, especially elderly women</w:t>
            </w:r>
            <w:r>
              <w:rPr>
                <w:rFonts w:ascii="Arial" w:hAnsi="Arial" w:cs="Arial"/>
                <w:color w:val="25282A"/>
                <w:sz w:val="18"/>
                <w:szCs w:val="18"/>
              </w:rPr>
              <w:t>.</w:t>
            </w:r>
          </w:p>
          <w:p w14:paraId="4B7A2924" w14:textId="77777777" w:rsidR="00743C88" w:rsidRPr="000D0E12" w:rsidRDefault="00743C88" w:rsidP="00743C88">
            <w:pPr>
              <w:numPr>
                <w:ilvl w:val="0"/>
                <w:numId w:val="6"/>
              </w:numPr>
              <w:rPr>
                <w:rFonts w:ascii="Arial" w:hAnsi="Arial" w:cs="Arial"/>
                <w:b/>
                <w:sz w:val="18"/>
                <w:szCs w:val="18"/>
              </w:rPr>
            </w:pPr>
            <w:r w:rsidRPr="000D0E12">
              <w:rPr>
                <w:rFonts w:ascii="Arial" w:hAnsi="Arial" w:cs="Arial"/>
                <w:b/>
                <w:sz w:val="18"/>
                <w:szCs w:val="18"/>
              </w:rPr>
              <w:t>Falls: possibility that</w:t>
            </w:r>
            <w:r>
              <w:rPr>
                <w:rFonts w:ascii="Arial" w:hAnsi="Arial" w:cs="Arial"/>
                <w:b/>
                <w:sz w:val="18"/>
                <w:szCs w:val="18"/>
              </w:rPr>
              <w:t xml:space="preserve"> you</w:t>
            </w:r>
            <w:r w:rsidRPr="000D0E12">
              <w:rPr>
                <w:rFonts w:ascii="Arial" w:hAnsi="Arial" w:cs="Arial"/>
                <w:b/>
                <w:sz w:val="18"/>
                <w:szCs w:val="18"/>
              </w:rPr>
              <w:t xml:space="preserve"> may experience somnolence, postural hypotension, or motor and sensory instability, which may lead to the risk of falls, particularly in patients with diseases, conditions, or medications that</w:t>
            </w:r>
            <w:r>
              <w:rPr>
                <w:rFonts w:ascii="Arial" w:hAnsi="Arial" w:cs="Arial"/>
                <w:b/>
                <w:sz w:val="18"/>
                <w:szCs w:val="18"/>
              </w:rPr>
              <w:t xml:space="preserve"> could exacerbate these effects.</w:t>
            </w:r>
          </w:p>
          <w:p w14:paraId="288937B3" w14:textId="77777777" w:rsidR="00743C88" w:rsidRPr="00743C88" w:rsidRDefault="00743C88" w:rsidP="00743C88">
            <w:pPr>
              <w:numPr>
                <w:ilvl w:val="0"/>
                <w:numId w:val="6"/>
              </w:numPr>
              <w:rPr>
                <w:b/>
              </w:rPr>
            </w:pPr>
            <w:r w:rsidRPr="000D0E12">
              <w:rPr>
                <w:rFonts w:ascii="Arial" w:hAnsi="Arial" w:cs="Arial"/>
                <w:b/>
                <w:sz w:val="18"/>
                <w:szCs w:val="18"/>
              </w:rPr>
              <w:t>Pregnancy</w:t>
            </w:r>
            <w:r>
              <w:rPr>
                <w:rFonts w:ascii="Arial" w:hAnsi="Arial" w:cs="Arial"/>
                <w:b/>
                <w:sz w:val="18"/>
                <w:szCs w:val="18"/>
              </w:rPr>
              <w:t>:</w:t>
            </w:r>
            <w:r w:rsidRPr="000D0E12">
              <w:rPr>
                <w:rFonts w:ascii="Arial" w:hAnsi="Arial" w:cs="Arial"/>
                <w:b/>
                <w:sz w:val="18"/>
                <w:szCs w:val="18"/>
              </w:rPr>
              <w:t xml:space="preserve"> may cause extrapyramidal and/or withdrawal symptoms in a neonate and to notify their healthcare provider with a known or suspected p</w:t>
            </w:r>
            <w:r>
              <w:rPr>
                <w:rFonts w:ascii="Arial" w:hAnsi="Arial" w:cs="Arial"/>
                <w:b/>
                <w:sz w:val="18"/>
                <w:szCs w:val="18"/>
              </w:rPr>
              <w:t>regnancy. T</w:t>
            </w:r>
            <w:r w:rsidRPr="000D0E12">
              <w:rPr>
                <w:rFonts w:ascii="Arial" w:hAnsi="Arial" w:cs="Arial"/>
                <w:b/>
                <w:sz w:val="18"/>
                <w:szCs w:val="18"/>
              </w:rPr>
              <w:t>here is a pregnancy exposure registry that monitors pregnancy outcomes in women exposed to ARISTADA during pregnancy</w:t>
            </w:r>
            <w:r>
              <w:rPr>
                <w:rFonts w:ascii="Arial" w:hAnsi="Arial" w:cs="Arial"/>
                <w:b/>
                <w:sz w:val="18"/>
                <w:szCs w:val="18"/>
              </w:rPr>
              <w:t>.</w:t>
            </w:r>
          </w:p>
          <w:p w14:paraId="332A9DE7" w14:textId="77777777" w:rsidR="00743C88" w:rsidRDefault="00743C88" w:rsidP="00743C88">
            <w:pPr>
              <w:rPr>
                <w:b/>
              </w:rPr>
            </w:pPr>
          </w:p>
        </w:tc>
      </w:tr>
      <w:tr w:rsidR="003379BD" w14:paraId="68E3A2F8" w14:textId="77777777" w:rsidTr="008768D6">
        <w:trPr>
          <w:trHeight w:val="576"/>
        </w:trPr>
        <w:tc>
          <w:tcPr>
            <w:tcW w:w="11448" w:type="dxa"/>
            <w:gridSpan w:val="2"/>
            <w:tcBorders>
              <w:top w:val="nil"/>
              <w:left w:val="nil"/>
              <w:bottom w:val="nil"/>
              <w:right w:val="nil"/>
            </w:tcBorders>
          </w:tcPr>
          <w:p w14:paraId="4A4E3CB8" w14:textId="77777777" w:rsidR="003379BD" w:rsidRDefault="008D79A4" w:rsidP="008D79A4">
            <w:pPr>
              <w:tabs>
                <w:tab w:val="left" w:pos="1080"/>
              </w:tabs>
              <w:rPr>
                <w:rFonts w:ascii="Arial" w:hAnsi="Arial"/>
                <w:b/>
                <w:snapToGrid w:val="0"/>
                <w:color w:val="000000"/>
                <w:sz w:val="18"/>
              </w:rPr>
            </w:pPr>
            <w:r w:rsidRPr="008D79A4">
              <w:rPr>
                <w:rFonts w:ascii="Arial" w:hAnsi="Arial"/>
                <w:b/>
                <w:snapToGrid w:val="0"/>
                <w:color w:val="000000"/>
                <w:sz w:val="18"/>
              </w:rPr>
              <w:t>BLACK BOX WARNING</w:t>
            </w:r>
          </w:p>
          <w:p w14:paraId="367C47F8" w14:textId="77777777" w:rsidR="00675BBE" w:rsidRDefault="00675BBE" w:rsidP="00AD441D">
            <w:pPr>
              <w:rPr>
                <w:rFonts w:ascii="Arial" w:hAnsi="Arial" w:cs="Arial"/>
                <w:color w:val="25282A"/>
                <w:sz w:val="18"/>
                <w:szCs w:val="18"/>
              </w:rPr>
            </w:pPr>
            <w:r w:rsidRPr="00BB37C7">
              <w:rPr>
                <w:rFonts w:ascii="Arial" w:hAnsi="Arial" w:cs="Arial"/>
                <w:color w:val="25282A"/>
                <w:sz w:val="18"/>
                <w:szCs w:val="18"/>
              </w:rPr>
              <w:t>Elderly patients with dementia-related psychosis treated with antipsychotic drugs are at an increased risk of death. Aripiprazole lauroxil is not approved for the treatment of patients with dementia-related psychosis.</w:t>
            </w:r>
          </w:p>
          <w:p w14:paraId="58E1C8DD" w14:textId="77777777" w:rsidR="00675BBE" w:rsidRDefault="00675BBE" w:rsidP="00AD441D">
            <w:pPr>
              <w:rPr>
                <w:b/>
              </w:rPr>
            </w:pPr>
          </w:p>
        </w:tc>
      </w:tr>
      <w:tr w:rsidR="003379BD" w14:paraId="34189DD8" w14:textId="77777777" w:rsidTr="008768D6">
        <w:trPr>
          <w:trHeight w:hRule="exact" w:val="288"/>
        </w:trPr>
        <w:tc>
          <w:tcPr>
            <w:tcW w:w="11448" w:type="dxa"/>
            <w:gridSpan w:val="2"/>
            <w:tcBorders>
              <w:top w:val="nil"/>
              <w:left w:val="nil"/>
              <w:bottom w:val="single" w:sz="4" w:space="0" w:color="auto"/>
              <w:right w:val="nil"/>
            </w:tcBorders>
            <w:vAlign w:val="bottom"/>
          </w:tcPr>
          <w:p w14:paraId="7FEFF861" w14:textId="0DC85900" w:rsidR="003379BD" w:rsidRDefault="003379BD" w:rsidP="005325D4">
            <w:pPr>
              <w:rPr>
                <w:rFonts w:ascii="Arial" w:hAnsi="Arial"/>
                <w:sz w:val="18"/>
              </w:rPr>
            </w:pPr>
            <w:r>
              <w:rPr>
                <w:rFonts w:ascii="Arial" w:hAnsi="Arial"/>
                <w:sz w:val="18"/>
              </w:rPr>
              <w:t>See</w:t>
            </w:r>
            <w:r w:rsidR="00501D78">
              <w:rPr>
                <w:rFonts w:ascii="Arial" w:hAnsi="Arial"/>
                <w:sz w:val="18"/>
              </w:rPr>
              <w:t xml:space="preserve"> 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528AC76" w14:textId="77777777">
        <w:trPr>
          <w:cantSplit/>
        </w:trPr>
        <w:tc>
          <w:tcPr>
            <w:tcW w:w="11448" w:type="dxa"/>
            <w:gridSpan w:val="2"/>
            <w:tcBorders>
              <w:top w:val="nil"/>
              <w:left w:val="nil"/>
              <w:bottom w:val="nil"/>
              <w:right w:val="nil"/>
            </w:tcBorders>
          </w:tcPr>
          <w:p w14:paraId="2F6C4402"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779C0B7"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4E30AF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528817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DFAB27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59DD7C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36B9E8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2AD3B1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4AC1CFD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84EE15F" w14:textId="77777777" w:rsidR="003379BD" w:rsidRDefault="003379BD">
            <w:pPr>
              <w:tabs>
                <w:tab w:val="left" w:pos="360"/>
                <w:tab w:val="left" w:pos="630"/>
              </w:tabs>
              <w:rPr>
                <w:rFonts w:ascii="Arial" w:hAnsi="Arial"/>
                <w:sz w:val="10"/>
              </w:rPr>
            </w:pPr>
          </w:p>
        </w:tc>
      </w:tr>
    </w:tbl>
    <w:p w14:paraId="146D187E" w14:textId="77777777" w:rsidR="0021563E" w:rsidRDefault="0021563E">
      <w:pPr>
        <w:rPr>
          <w:rFonts w:ascii="Arial" w:hAnsi="Arial"/>
          <w:b/>
          <w:sz w:val="18"/>
        </w:rPr>
        <w:sectPr w:rsidR="0021563E" w:rsidSect="0056414C">
          <w:footerReference w:type="default" r:id="rId12"/>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BDD70AB" w14:textId="77777777" w:rsidTr="0021563E">
        <w:trPr>
          <w:cantSplit/>
        </w:trPr>
        <w:tc>
          <w:tcPr>
            <w:tcW w:w="9918" w:type="dxa"/>
            <w:gridSpan w:val="5"/>
            <w:tcBorders>
              <w:top w:val="nil"/>
              <w:left w:val="nil"/>
              <w:bottom w:val="nil"/>
              <w:right w:val="nil"/>
            </w:tcBorders>
          </w:tcPr>
          <w:p w14:paraId="38514349"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08F1320" w14:textId="77777777" w:rsidR="003379BD" w:rsidRDefault="005325D4" w:rsidP="0021563E">
            <w:pPr>
              <w:ind w:left="-18"/>
              <w:rPr>
                <w:rFonts w:ascii="Arial" w:hAnsi="Arial"/>
                <w:b/>
                <w:sz w:val="18"/>
              </w:rPr>
            </w:pPr>
            <w:r>
              <w:rPr>
                <w:rFonts w:ascii="Arial" w:hAnsi="Arial"/>
                <w:b/>
                <w:sz w:val="18"/>
              </w:rPr>
              <w:t>DATE SIGNED</w:t>
            </w:r>
          </w:p>
        </w:tc>
      </w:tr>
      <w:tr w:rsidR="003379BD" w14:paraId="704D6CE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93812E1"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7393BE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9BAB6B2"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AFFBEF3" w14:textId="77777777" w:rsidR="003379BD" w:rsidRDefault="003379BD">
            <w:pPr>
              <w:rPr>
                <w:rFonts w:ascii="Arial" w:hAnsi="Arial"/>
                <w:sz w:val="18"/>
              </w:rPr>
            </w:pPr>
          </w:p>
        </w:tc>
      </w:tr>
      <w:tr w:rsidR="003379BD" w14:paraId="0018F880"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556F6A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440B1A4"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0EBC608" w14:textId="77777777" w:rsidR="003379BD" w:rsidRDefault="003379BD">
            <w:pPr>
              <w:rPr>
                <w:rFonts w:ascii="Arial" w:hAnsi="Arial"/>
                <w:sz w:val="18"/>
              </w:rPr>
            </w:pPr>
          </w:p>
        </w:tc>
      </w:tr>
      <w:tr w:rsidR="007A6FC3" w14:paraId="3DD1071F" w14:textId="77777777">
        <w:trPr>
          <w:cantSplit/>
          <w:trHeight w:hRule="exact" w:val="864"/>
        </w:trPr>
        <w:tc>
          <w:tcPr>
            <w:tcW w:w="11448" w:type="dxa"/>
            <w:gridSpan w:val="6"/>
            <w:tcBorders>
              <w:top w:val="single" w:sz="4" w:space="0" w:color="auto"/>
              <w:left w:val="nil"/>
              <w:bottom w:val="single" w:sz="4" w:space="0" w:color="auto"/>
              <w:right w:val="nil"/>
            </w:tcBorders>
          </w:tcPr>
          <w:p w14:paraId="590206F0"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C2DC907"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70B00E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F0C352B"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385CCBD"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C70D1F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260898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7C89419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8A5D1DD"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E0237">
              <w:rPr>
                <w:rFonts w:ascii="Arial" w:hAnsi="Arial"/>
                <w:sz w:val="18"/>
              </w:rPr>
            </w:r>
            <w:r w:rsidR="00AE0237">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7D7DF5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F32EF6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0172EF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472815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FA0B93C"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013D" w14:textId="77777777" w:rsidR="00453A14" w:rsidRDefault="00453A14" w:rsidP="007A6FC3">
      <w:r>
        <w:separator/>
      </w:r>
    </w:p>
  </w:endnote>
  <w:endnote w:type="continuationSeparator" w:id="0">
    <w:p w14:paraId="597B00DB" w14:textId="77777777" w:rsidR="00453A14" w:rsidRDefault="00453A1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147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28E7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913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E4CF7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14E9A6D" w14:textId="77777777" w:rsidTr="00CC7A80">
      <w:tc>
        <w:tcPr>
          <w:tcW w:w="1932" w:type="dxa"/>
          <w:shd w:val="clear" w:color="auto" w:fill="auto"/>
        </w:tcPr>
        <w:p w14:paraId="35914EFF"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290548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6086EF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C95564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81C31F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CB4DB52" w14:textId="77777777" w:rsidR="0018307F" w:rsidRPr="00CC7A80" w:rsidRDefault="0018307F" w:rsidP="00CC7A80">
          <w:pPr>
            <w:pStyle w:val="Footer"/>
            <w:jc w:val="right"/>
            <w:rPr>
              <w:rFonts w:ascii="Arial" w:hAnsi="Arial" w:cs="Arial"/>
              <w:sz w:val="18"/>
              <w:szCs w:val="18"/>
            </w:rPr>
          </w:pPr>
        </w:p>
      </w:tc>
    </w:tr>
  </w:tbl>
  <w:p w14:paraId="1F8725EF" w14:textId="77777777" w:rsidR="0018307F" w:rsidRDefault="0018307F" w:rsidP="0021563E">
    <w:pPr>
      <w:pStyle w:val="Footer"/>
      <w:jc w:val="right"/>
    </w:pPr>
  </w:p>
  <w:p w14:paraId="1EC70F9A"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2EF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9E2">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3114F6A5" w14:textId="77777777" w:rsidTr="00CC7A80">
      <w:tc>
        <w:tcPr>
          <w:tcW w:w="1932" w:type="dxa"/>
          <w:shd w:val="clear" w:color="auto" w:fill="auto"/>
        </w:tcPr>
        <w:p w14:paraId="2FCD254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C1BD81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33D557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304030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BF6079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88E95C9" w14:textId="77777777" w:rsidR="0018307F" w:rsidRPr="00CC7A80" w:rsidRDefault="0018307F" w:rsidP="00CC7A80">
          <w:pPr>
            <w:pStyle w:val="Footer"/>
            <w:jc w:val="right"/>
            <w:rPr>
              <w:rFonts w:ascii="Arial" w:hAnsi="Arial" w:cs="Arial"/>
              <w:sz w:val="18"/>
              <w:szCs w:val="18"/>
            </w:rPr>
          </w:pPr>
        </w:p>
      </w:tc>
    </w:tr>
  </w:tbl>
  <w:p w14:paraId="0C46DB61"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2142" w14:textId="77777777" w:rsidR="00453A14" w:rsidRDefault="00453A14" w:rsidP="007A6FC3">
      <w:r>
        <w:separator/>
      </w:r>
    </w:p>
  </w:footnote>
  <w:footnote w:type="continuationSeparator" w:id="0">
    <w:p w14:paraId="66AE5229" w14:textId="77777777" w:rsidR="00453A14" w:rsidRDefault="00453A1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3556505"/>
    <w:multiLevelType w:val="hybridMultilevel"/>
    <w:tmpl w:val="964E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FB3726"/>
    <w:multiLevelType w:val="hybridMultilevel"/>
    <w:tmpl w:val="7788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A1F4AE7"/>
    <w:multiLevelType w:val="hybridMultilevel"/>
    <w:tmpl w:val="F1C4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9128767">
    <w:abstractNumId w:val="1"/>
  </w:num>
  <w:num w:numId="2" w16cid:durableId="98333274">
    <w:abstractNumId w:val="5"/>
  </w:num>
  <w:num w:numId="3" w16cid:durableId="1140806973">
    <w:abstractNumId w:val="3"/>
  </w:num>
  <w:num w:numId="4" w16cid:durableId="1233084717">
    <w:abstractNumId w:val="0"/>
  </w:num>
  <w:num w:numId="5" w16cid:durableId="273555704">
    <w:abstractNumId w:val="2"/>
  </w:num>
  <w:num w:numId="6" w16cid:durableId="2010714570">
    <w:abstractNumId w:val="4"/>
  </w:num>
  <w:num w:numId="7" w16cid:durableId="2114086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7sJKNTD8BC0Gbek5zLHyFHEOH4xd31LJYXVMJ8pOGmdq7YuXriZF+BIMJn5oWQb0L4Ne9itvR8noTpr3W6osw==" w:salt="Mf2E3zqAqzvvb3FoREsPXQ=="/>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46"/>
    <w:rsid w:val="00017A46"/>
    <w:rsid w:val="00020388"/>
    <w:rsid w:val="00031FEC"/>
    <w:rsid w:val="00057F83"/>
    <w:rsid w:val="00065117"/>
    <w:rsid w:val="000755E2"/>
    <w:rsid w:val="00082C72"/>
    <w:rsid w:val="00097390"/>
    <w:rsid w:val="000E25AD"/>
    <w:rsid w:val="00101422"/>
    <w:rsid w:val="0018307F"/>
    <w:rsid w:val="001B5568"/>
    <w:rsid w:val="001F4D7C"/>
    <w:rsid w:val="0021563E"/>
    <w:rsid w:val="00295B89"/>
    <w:rsid w:val="00311731"/>
    <w:rsid w:val="0031599E"/>
    <w:rsid w:val="003379BD"/>
    <w:rsid w:val="003A15FD"/>
    <w:rsid w:val="003B2EF9"/>
    <w:rsid w:val="003B70D9"/>
    <w:rsid w:val="003D1746"/>
    <w:rsid w:val="003D356D"/>
    <w:rsid w:val="003D62C1"/>
    <w:rsid w:val="003E29B2"/>
    <w:rsid w:val="00453A14"/>
    <w:rsid w:val="004553BF"/>
    <w:rsid w:val="00464819"/>
    <w:rsid w:val="0047002C"/>
    <w:rsid w:val="004B0216"/>
    <w:rsid w:val="004D379B"/>
    <w:rsid w:val="00501D78"/>
    <w:rsid w:val="005325D4"/>
    <w:rsid w:val="005508EB"/>
    <w:rsid w:val="0056414C"/>
    <w:rsid w:val="00573C55"/>
    <w:rsid w:val="0059662D"/>
    <w:rsid w:val="005A70E2"/>
    <w:rsid w:val="005C03B7"/>
    <w:rsid w:val="00606B81"/>
    <w:rsid w:val="00621771"/>
    <w:rsid w:val="00622264"/>
    <w:rsid w:val="00644115"/>
    <w:rsid w:val="0064565E"/>
    <w:rsid w:val="00652CEE"/>
    <w:rsid w:val="00653309"/>
    <w:rsid w:val="00675BBE"/>
    <w:rsid w:val="00683097"/>
    <w:rsid w:val="006B7A42"/>
    <w:rsid w:val="006D7B7F"/>
    <w:rsid w:val="00743C88"/>
    <w:rsid w:val="007473D0"/>
    <w:rsid w:val="00775C94"/>
    <w:rsid w:val="007935E7"/>
    <w:rsid w:val="007A6FC3"/>
    <w:rsid w:val="007B70D7"/>
    <w:rsid w:val="007F44C1"/>
    <w:rsid w:val="008768D6"/>
    <w:rsid w:val="008D1C36"/>
    <w:rsid w:val="008D79A4"/>
    <w:rsid w:val="00916D82"/>
    <w:rsid w:val="00927055"/>
    <w:rsid w:val="00934FD5"/>
    <w:rsid w:val="009B59D3"/>
    <w:rsid w:val="00A22DDB"/>
    <w:rsid w:val="00A60207"/>
    <w:rsid w:val="00AA7ED4"/>
    <w:rsid w:val="00AB1650"/>
    <w:rsid w:val="00AD441D"/>
    <w:rsid w:val="00AE0237"/>
    <w:rsid w:val="00B1786E"/>
    <w:rsid w:val="00B24943"/>
    <w:rsid w:val="00B47C64"/>
    <w:rsid w:val="00B64324"/>
    <w:rsid w:val="00B82162"/>
    <w:rsid w:val="00B83999"/>
    <w:rsid w:val="00C274E6"/>
    <w:rsid w:val="00C513F6"/>
    <w:rsid w:val="00CA71B6"/>
    <w:rsid w:val="00CA7C90"/>
    <w:rsid w:val="00CC7A80"/>
    <w:rsid w:val="00CF16BF"/>
    <w:rsid w:val="00D40FF6"/>
    <w:rsid w:val="00D77F6A"/>
    <w:rsid w:val="00DB06DB"/>
    <w:rsid w:val="00DF0FF9"/>
    <w:rsid w:val="00E02750"/>
    <w:rsid w:val="00E12DE1"/>
    <w:rsid w:val="00E7205C"/>
    <w:rsid w:val="00E91496"/>
    <w:rsid w:val="00E92D7A"/>
    <w:rsid w:val="00EA1297"/>
    <w:rsid w:val="00EC29E2"/>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AB9FA6"/>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medexsolutions.com/micromedex2/librarian/CS/9C4F9A/ND_PR/evidencexpert/ND_P/evidencexpert/DUPLICATIONSHIELDSYNC/7A1224/ND_PG/evidencexpert/ND_B/evidencexpert/ND_AppProduct/evidencexpert/ND_T/evidencexpert/PFActionId/evidencexpert.DoIntegratedSearch?SearchTerm=aristada&amp;UserSearchTerm=aristada&amp;SearchFilter=filterNone&amp;navitem=searchGlobal" TargetMode="External"/><Relationship Id="rId5" Type="http://schemas.openxmlformats.org/officeDocument/2006/relationships/footnotes" Target="footnotes.xml"/><Relationship Id="rId10" Type="http://schemas.openxmlformats.org/officeDocument/2006/relationships/hyperlink" Target="http://www.micromedexsolutions.com/micromedex2/librarian/CS/9C4F9A/ND_PR/evidencexpert/ND_P/evidencexpert/DUPLICATIONSHIELDSYNC/7A1224/ND_PG/evidencexpert/ND_B/evidencexpert/ND_AppProduct/evidencexpert/ND_T/evidencexpert/PFActionId/evidencexpert.DoIntegratedSearch?SearchTerm=aristada&amp;UserSearchTerm=aristada&amp;SearchFilter=filterNone&amp;navitem=searchGloba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1914</Words>
  <Characters>10779</Characters>
  <Application>Microsoft Office Word</Application>
  <DocSecurity>0</DocSecurity>
  <Lines>199</Lines>
  <Paragraphs>132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12561</CharactersWithSpaces>
  <SharedDoc>false</SharedDoc>
  <HLinks>
    <vt:vector size="12" baseType="variant">
      <vt:variant>
        <vt:i4>5439597</vt:i4>
      </vt:variant>
      <vt:variant>
        <vt:i4>102</vt:i4>
      </vt:variant>
      <vt:variant>
        <vt:i4>0</vt:i4>
      </vt:variant>
      <vt:variant>
        <vt:i4>5</vt:i4>
      </vt:variant>
      <vt:variant>
        <vt:lpwstr>http://www.micromedexsolutions.com/micromedex2/librarian/CS/9C4F9A/ND_PR/evidencexpert/ND_P/evidencexpert/DUPLICATIONSHIELDSYNC/7A1224/ND_PG/evidencexpert/ND_B/evidencexpert/ND_AppProduct/evidencexpert/ND_T/evidencexpert/PFActionId/evidencexpert.DoIntegratedSearch?SearchTerm=aristada&amp;UserSearchTerm=aristada&amp;SearchFilter=filterNone&amp;navitem=searchGlobal</vt:lpwstr>
      </vt:variant>
      <vt:variant>
        <vt:lpwstr>cite1_dp</vt:lpwstr>
      </vt:variant>
      <vt:variant>
        <vt:i4>5439597</vt:i4>
      </vt:variant>
      <vt:variant>
        <vt:i4>99</vt:i4>
      </vt:variant>
      <vt:variant>
        <vt:i4>0</vt:i4>
      </vt:variant>
      <vt:variant>
        <vt:i4>5</vt:i4>
      </vt:variant>
      <vt:variant>
        <vt:lpwstr>http://www.micromedexsolutions.com/micromedex2/librarian/CS/9C4F9A/ND_PR/evidencexpert/ND_P/evidencexpert/DUPLICATIONSHIELDSYNC/7A1224/ND_PG/evidencexpert/ND_B/evidencexpert/ND_AppProduct/evidencexpert/ND_T/evidencexpert/PFActionId/evidencexpert.DoIntegratedSearch?SearchTerm=aristada&amp;UserSearchTerm=aristada&amp;SearchFilter=filterNone&amp;navitem=searchGlobal</vt:lpwstr>
      </vt:variant>
      <vt:variant>
        <vt:lpwstr>cite1_dp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2024-05-03T20:04:00Z</dcterms:created>
  <dcterms:modified xsi:type="dcterms:W3CDTF">2024-05-03T20:04:00Z</dcterms:modified>
</cp:coreProperties>
</file>