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5176185" w14:textId="77777777">
        <w:tc>
          <w:tcPr>
            <w:tcW w:w="5868" w:type="dxa"/>
            <w:tcBorders>
              <w:top w:val="nil"/>
              <w:left w:val="nil"/>
              <w:bottom w:val="nil"/>
              <w:right w:val="nil"/>
            </w:tcBorders>
          </w:tcPr>
          <w:p w14:paraId="0CA6EA09" w14:textId="77777777" w:rsidR="003379BD" w:rsidRPr="004553BF" w:rsidRDefault="003379BD">
            <w:pPr>
              <w:pStyle w:val="Heading1"/>
            </w:pPr>
            <w:r w:rsidRPr="004553BF">
              <w:t>DEPARTMENT OF HEALTH SERVICES</w:t>
            </w:r>
          </w:p>
          <w:p w14:paraId="7A6D20CD"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479047E4" w14:textId="08241174"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E77F83">
              <w:rPr>
                <w:rFonts w:ascii="Arial" w:hAnsi="Arial"/>
                <w:sz w:val="18"/>
              </w:rPr>
              <w:t>5</w:t>
            </w:r>
            <w:r w:rsidR="00017A46">
              <w:rPr>
                <w:rFonts w:ascii="Arial" w:hAnsi="Arial"/>
                <w:sz w:val="18"/>
              </w:rPr>
              <w:t>/20</w:t>
            </w:r>
            <w:r w:rsidR="00E77F83">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522D391"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241B1E12" w14:textId="77777777" w:rsidR="003379BD" w:rsidRPr="004553BF" w:rsidRDefault="003379BD">
            <w:pPr>
              <w:jc w:val="right"/>
              <w:rPr>
                <w:rFonts w:ascii="Arial" w:hAnsi="Arial"/>
                <w:sz w:val="18"/>
              </w:rPr>
            </w:pPr>
            <w:r w:rsidRPr="004553BF">
              <w:rPr>
                <w:rFonts w:ascii="Arial" w:hAnsi="Arial"/>
                <w:sz w:val="18"/>
              </w:rPr>
              <w:t>42 CFR483.420(a)(2)</w:t>
            </w:r>
          </w:p>
          <w:p w14:paraId="3F5D5B7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B8A2C7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ED9657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1D0527ED"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3F536FE" w14:textId="77777777">
        <w:trPr>
          <w:cantSplit/>
        </w:trPr>
        <w:tc>
          <w:tcPr>
            <w:tcW w:w="11448" w:type="dxa"/>
            <w:gridSpan w:val="10"/>
            <w:tcBorders>
              <w:top w:val="nil"/>
              <w:left w:val="nil"/>
              <w:bottom w:val="single" w:sz="4" w:space="0" w:color="auto"/>
              <w:right w:val="nil"/>
            </w:tcBorders>
          </w:tcPr>
          <w:p w14:paraId="69D96545" w14:textId="77777777" w:rsidR="003379BD" w:rsidRDefault="003379BD" w:rsidP="0031599E">
            <w:pPr>
              <w:pStyle w:val="Heading3"/>
            </w:pPr>
            <w:r>
              <w:t>INFORMED CONSENT FOR MEDICATION</w:t>
            </w:r>
          </w:p>
          <w:p w14:paraId="540EEE6B" w14:textId="77777777" w:rsidR="00464819" w:rsidRDefault="00464819" w:rsidP="00464819">
            <w:pPr>
              <w:pStyle w:val="Heading4"/>
            </w:pPr>
            <w:r>
              <w:t xml:space="preserve">Dosage and / or Side Effect information last revised on </w:t>
            </w:r>
            <w:r w:rsidR="00933987">
              <w:rPr>
                <w:noProof/>
              </w:rPr>
              <w:t>04/05/2021</w:t>
            </w:r>
          </w:p>
          <w:p w14:paraId="5BDD5D5B" w14:textId="42B8BDA7"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E77F83">
              <w:rPr>
                <w:rFonts w:ascii="Arial" w:hAnsi="Arial"/>
                <w:sz w:val="18"/>
              </w:rPr>
              <w:t>informed consent is not given</w:t>
            </w:r>
            <w:r>
              <w:rPr>
                <w:rFonts w:ascii="Arial" w:hAnsi="Arial"/>
                <w:sz w:val="18"/>
              </w:rPr>
              <w:t>, the medication cannot be administered without a court order unless in an emergency.</w:t>
            </w:r>
          </w:p>
          <w:p w14:paraId="565347C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4C71E51C" w14:textId="77777777">
        <w:trPr>
          <w:trHeight w:hRule="exact" w:val="480"/>
        </w:trPr>
        <w:tc>
          <w:tcPr>
            <w:tcW w:w="5868" w:type="dxa"/>
            <w:gridSpan w:val="5"/>
            <w:tcBorders>
              <w:top w:val="single" w:sz="4" w:space="0" w:color="auto"/>
              <w:left w:val="nil"/>
              <w:bottom w:val="single" w:sz="4" w:space="0" w:color="auto"/>
            </w:tcBorders>
          </w:tcPr>
          <w:p w14:paraId="014B93BB" w14:textId="77777777" w:rsidR="003379BD" w:rsidRDefault="003379BD">
            <w:pPr>
              <w:rPr>
                <w:rFonts w:ascii="Arial" w:hAnsi="Arial"/>
                <w:sz w:val="18"/>
              </w:rPr>
            </w:pPr>
            <w:r>
              <w:rPr>
                <w:rFonts w:ascii="Arial" w:hAnsi="Arial"/>
                <w:sz w:val="18"/>
              </w:rPr>
              <w:t>Name – Patient / Client (Last, First MI)</w:t>
            </w:r>
          </w:p>
          <w:p w14:paraId="4B6F1E29"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0E4F1B4" w14:textId="77777777" w:rsidR="003379BD" w:rsidRDefault="003379BD">
            <w:pPr>
              <w:rPr>
                <w:rFonts w:ascii="Arial" w:hAnsi="Arial"/>
                <w:sz w:val="18"/>
              </w:rPr>
            </w:pPr>
            <w:r>
              <w:rPr>
                <w:rFonts w:ascii="Arial" w:hAnsi="Arial"/>
                <w:sz w:val="18"/>
              </w:rPr>
              <w:t>ID Number</w:t>
            </w:r>
          </w:p>
          <w:p w14:paraId="6A19270F"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61FC4BC8" w14:textId="77777777" w:rsidR="003379BD" w:rsidRDefault="003379BD">
            <w:pPr>
              <w:rPr>
                <w:rFonts w:ascii="Arial" w:hAnsi="Arial"/>
                <w:sz w:val="18"/>
              </w:rPr>
            </w:pPr>
            <w:r>
              <w:rPr>
                <w:rFonts w:ascii="Arial" w:hAnsi="Arial"/>
                <w:sz w:val="18"/>
              </w:rPr>
              <w:t>Living Unit</w:t>
            </w:r>
          </w:p>
          <w:p w14:paraId="26F41B17"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7DBFF640" w14:textId="77777777" w:rsidR="003379BD" w:rsidRDefault="006B7A42">
            <w:pPr>
              <w:rPr>
                <w:rFonts w:ascii="Arial" w:hAnsi="Arial"/>
                <w:sz w:val="18"/>
              </w:rPr>
            </w:pPr>
            <w:r>
              <w:rPr>
                <w:rFonts w:ascii="Arial" w:hAnsi="Arial"/>
                <w:sz w:val="18"/>
              </w:rPr>
              <w:t>Date of Birth</w:t>
            </w:r>
          </w:p>
          <w:p w14:paraId="4856FE98"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1B16EA0C" w14:textId="77777777">
        <w:trPr>
          <w:cantSplit/>
        </w:trPr>
        <w:tc>
          <w:tcPr>
            <w:tcW w:w="4338" w:type="dxa"/>
            <w:gridSpan w:val="3"/>
            <w:tcBorders>
              <w:top w:val="single" w:sz="4" w:space="0" w:color="auto"/>
              <w:left w:val="nil"/>
              <w:bottom w:val="single" w:sz="4" w:space="0" w:color="auto"/>
            </w:tcBorders>
          </w:tcPr>
          <w:p w14:paraId="486F3F7C" w14:textId="77777777" w:rsidR="003379BD" w:rsidRDefault="003379BD">
            <w:pPr>
              <w:rPr>
                <w:rFonts w:ascii="Arial" w:hAnsi="Arial"/>
                <w:sz w:val="18"/>
              </w:rPr>
            </w:pPr>
            <w:r>
              <w:rPr>
                <w:rFonts w:ascii="Arial" w:hAnsi="Arial"/>
                <w:sz w:val="18"/>
              </w:rPr>
              <w:t>Name – Individual Preparing This Form</w:t>
            </w:r>
          </w:p>
          <w:p w14:paraId="6EE3497E"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8751A0" w14:textId="77777777" w:rsidR="003379BD" w:rsidRDefault="003379BD">
            <w:pPr>
              <w:rPr>
                <w:rFonts w:ascii="Arial" w:hAnsi="Arial"/>
                <w:sz w:val="18"/>
              </w:rPr>
            </w:pPr>
            <w:r>
              <w:rPr>
                <w:rFonts w:ascii="Arial" w:hAnsi="Arial"/>
                <w:sz w:val="18"/>
              </w:rPr>
              <w:t>Name – Staff Contact</w:t>
            </w:r>
          </w:p>
          <w:p w14:paraId="02531B81"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952D611" w14:textId="77777777" w:rsidR="003379BD" w:rsidRDefault="003379BD">
            <w:pPr>
              <w:rPr>
                <w:rFonts w:ascii="Arial" w:hAnsi="Arial"/>
                <w:sz w:val="18"/>
              </w:rPr>
            </w:pPr>
            <w:r>
              <w:rPr>
                <w:rFonts w:ascii="Arial" w:hAnsi="Arial"/>
                <w:sz w:val="18"/>
              </w:rPr>
              <w:t>Name / Telephone Number – Institution</w:t>
            </w:r>
          </w:p>
          <w:p w14:paraId="09EB187B"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52CBC6FE" w14:textId="77777777" w:rsidTr="00DF0FF9">
        <w:trPr>
          <w:cantSplit/>
        </w:trPr>
        <w:tc>
          <w:tcPr>
            <w:tcW w:w="3168" w:type="dxa"/>
            <w:tcBorders>
              <w:top w:val="single" w:sz="4" w:space="0" w:color="auto"/>
              <w:left w:val="nil"/>
              <w:bottom w:val="nil"/>
            </w:tcBorders>
            <w:vAlign w:val="center"/>
          </w:tcPr>
          <w:p w14:paraId="591D8D2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DBCCCE2"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2F0CF164" w14:textId="77777777" w:rsidR="003379BD" w:rsidRDefault="003379BD" w:rsidP="00DF0FF9">
            <w:pPr>
              <w:pStyle w:val="Heading4"/>
              <w:spacing w:before="0"/>
            </w:pPr>
            <w:r>
              <w:t>RECOMMENDED</w:t>
            </w:r>
          </w:p>
          <w:p w14:paraId="1E95436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F477120" w14:textId="77777777" w:rsidR="003379BD" w:rsidRDefault="003379BD" w:rsidP="00DF0FF9">
            <w:pPr>
              <w:pStyle w:val="Heading4"/>
              <w:spacing w:before="0"/>
              <w:rPr>
                <w:b w:val="0"/>
              </w:rPr>
            </w:pPr>
            <w:r>
              <w:t>ANTICIPATED</w:t>
            </w:r>
            <w:r w:rsidR="00DF0FF9">
              <w:t xml:space="preserve"> </w:t>
            </w:r>
            <w:r>
              <w:t>DOSAGE RANGE</w:t>
            </w:r>
          </w:p>
        </w:tc>
      </w:tr>
      <w:tr w:rsidR="007D16C3" w14:paraId="28A35657" w14:textId="77777777" w:rsidTr="00D53122">
        <w:trPr>
          <w:cantSplit/>
        </w:trPr>
        <w:tc>
          <w:tcPr>
            <w:tcW w:w="3168" w:type="dxa"/>
            <w:tcBorders>
              <w:top w:val="single" w:sz="4" w:space="0" w:color="auto"/>
              <w:left w:val="nil"/>
              <w:bottom w:val="single" w:sz="4" w:space="0" w:color="auto"/>
            </w:tcBorders>
          </w:tcPr>
          <w:p w14:paraId="6E9DED77" w14:textId="77777777" w:rsidR="007D16C3" w:rsidRDefault="007D16C3" w:rsidP="00D53122">
            <w:pPr>
              <w:spacing w:before="60"/>
              <w:rPr>
                <w:sz w:val="22"/>
              </w:rPr>
            </w:pPr>
            <w:r w:rsidRPr="00F125E2">
              <w:rPr>
                <w:noProof/>
                <w:sz w:val="22"/>
              </w:rPr>
              <w:t>Attention Deficit/ Hyperactivity Disorder/ ADHD</w:t>
            </w:r>
          </w:p>
        </w:tc>
        <w:tc>
          <w:tcPr>
            <w:tcW w:w="3420" w:type="dxa"/>
            <w:gridSpan w:val="5"/>
            <w:tcBorders>
              <w:top w:val="single" w:sz="4" w:space="0" w:color="auto"/>
              <w:bottom w:val="single" w:sz="4" w:space="0" w:color="auto"/>
              <w:right w:val="nil"/>
            </w:tcBorders>
          </w:tcPr>
          <w:p w14:paraId="3BABDD5A" w14:textId="77777777" w:rsidR="007D16C3" w:rsidRPr="00D40B3B" w:rsidRDefault="005F618C" w:rsidP="00D40B3B">
            <w:pPr>
              <w:pStyle w:val="ListParagraph"/>
              <w:numPr>
                <w:ilvl w:val="0"/>
                <w:numId w:val="6"/>
              </w:numPr>
              <w:tabs>
                <w:tab w:val="left" w:pos="702"/>
                <w:tab w:val="left" w:pos="882"/>
                <w:tab w:val="left" w:pos="1152"/>
                <w:tab w:val="left" w:pos="1602"/>
              </w:tabs>
              <w:rPr>
                <w:noProof/>
                <w:sz w:val="22"/>
              </w:rPr>
            </w:pPr>
            <w:r w:rsidRPr="00D40B3B">
              <w:rPr>
                <w:noProof/>
                <w:sz w:val="22"/>
              </w:rPr>
              <w:t>Tenex (</w:t>
            </w:r>
            <w:r w:rsidR="007D16C3" w:rsidRPr="00D40B3B">
              <w:rPr>
                <w:noProof/>
                <w:sz w:val="22"/>
              </w:rPr>
              <w:t>guanfacine</w:t>
            </w:r>
            <w:r w:rsidR="00D40B3B" w:rsidRPr="00D40B3B">
              <w:rPr>
                <w:noProof/>
                <w:sz w:val="22"/>
              </w:rPr>
              <w:t xml:space="preserve"> immediate release tablet</w:t>
            </w:r>
            <w:r w:rsidRPr="00D40B3B">
              <w:rPr>
                <w:noProof/>
                <w:sz w:val="22"/>
              </w:rPr>
              <w:t>)</w:t>
            </w:r>
          </w:p>
          <w:p w14:paraId="4B57878F" w14:textId="77777777" w:rsidR="00D40B3B" w:rsidRPr="00D40B3B" w:rsidRDefault="00D40B3B" w:rsidP="00D40B3B">
            <w:pPr>
              <w:pStyle w:val="ListParagraph"/>
              <w:numPr>
                <w:ilvl w:val="0"/>
                <w:numId w:val="6"/>
              </w:numPr>
              <w:tabs>
                <w:tab w:val="left" w:pos="702"/>
                <w:tab w:val="left" w:pos="882"/>
                <w:tab w:val="left" w:pos="1152"/>
                <w:tab w:val="left" w:pos="1602"/>
              </w:tabs>
              <w:rPr>
                <w:sz w:val="22"/>
              </w:rPr>
            </w:pPr>
            <w:r w:rsidRPr="00D40B3B">
              <w:rPr>
                <w:sz w:val="22"/>
              </w:rPr>
              <w:t>Intuniv (guanfacine extended release tablet)</w:t>
            </w:r>
          </w:p>
        </w:tc>
        <w:tc>
          <w:tcPr>
            <w:tcW w:w="3420" w:type="dxa"/>
            <w:gridSpan w:val="3"/>
            <w:tcBorders>
              <w:top w:val="single" w:sz="4" w:space="0" w:color="auto"/>
              <w:bottom w:val="single" w:sz="4" w:space="0" w:color="auto"/>
              <w:right w:val="nil"/>
            </w:tcBorders>
            <w:vAlign w:val="center"/>
          </w:tcPr>
          <w:p w14:paraId="77F845D3" w14:textId="77777777" w:rsidR="007D16C3" w:rsidRPr="00D40B3B" w:rsidRDefault="00D40B3B" w:rsidP="00D40B3B">
            <w:pPr>
              <w:pStyle w:val="ListParagraph"/>
              <w:numPr>
                <w:ilvl w:val="0"/>
                <w:numId w:val="6"/>
              </w:numPr>
              <w:tabs>
                <w:tab w:val="left" w:pos="702"/>
                <w:tab w:val="left" w:pos="882"/>
                <w:tab w:val="left" w:pos="1152"/>
                <w:tab w:val="left" w:pos="1602"/>
              </w:tabs>
              <w:rPr>
                <w:noProof/>
                <w:sz w:val="22"/>
              </w:rPr>
            </w:pPr>
            <w:r w:rsidRPr="00D40B3B">
              <w:rPr>
                <w:noProof/>
                <w:sz w:val="22"/>
              </w:rPr>
              <w:t xml:space="preserve">Immediate release: </w:t>
            </w:r>
            <w:r w:rsidR="007D16C3" w:rsidRPr="00D40B3B">
              <w:rPr>
                <w:noProof/>
                <w:sz w:val="22"/>
              </w:rPr>
              <w:t>0.5</w:t>
            </w:r>
            <w:r>
              <w:rPr>
                <w:noProof/>
                <w:sz w:val="22"/>
              </w:rPr>
              <w:t xml:space="preserve"> mg-</w:t>
            </w:r>
            <w:r w:rsidR="005F618C" w:rsidRPr="00D40B3B">
              <w:rPr>
                <w:noProof/>
                <w:sz w:val="22"/>
              </w:rPr>
              <w:t xml:space="preserve"> 2 </w:t>
            </w:r>
            <w:r w:rsidR="007D16C3" w:rsidRPr="00D40B3B">
              <w:rPr>
                <w:noProof/>
                <w:sz w:val="22"/>
              </w:rPr>
              <w:t>mg</w:t>
            </w:r>
          </w:p>
          <w:p w14:paraId="0A9B976E" w14:textId="77777777" w:rsidR="00D40B3B" w:rsidRPr="00D40B3B" w:rsidRDefault="00D40B3B" w:rsidP="00D40B3B">
            <w:pPr>
              <w:pStyle w:val="ListParagraph"/>
              <w:numPr>
                <w:ilvl w:val="0"/>
                <w:numId w:val="6"/>
              </w:numPr>
              <w:tabs>
                <w:tab w:val="left" w:pos="702"/>
                <w:tab w:val="left" w:pos="882"/>
                <w:tab w:val="left" w:pos="1152"/>
                <w:tab w:val="left" w:pos="1602"/>
              </w:tabs>
              <w:rPr>
                <w:sz w:val="22"/>
              </w:rPr>
            </w:pPr>
            <w:r w:rsidRPr="00D40B3B">
              <w:rPr>
                <w:noProof/>
                <w:sz w:val="22"/>
              </w:rPr>
              <w:t xml:space="preserve">Extended release: </w:t>
            </w:r>
            <w:r>
              <w:rPr>
                <w:noProof/>
                <w:sz w:val="22"/>
              </w:rPr>
              <w:t>1 mg- 4 mg</w:t>
            </w:r>
          </w:p>
        </w:tc>
        <w:tc>
          <w:tcPr>
            <w:tcW w:w="1440" w:type="dxa"/>
            <w:tcBorders>
              <w:top w:val="single" w:sz="4" w:space="0" w:color="auto"/>
              <w:bottom w:val="single" w:sz="4" w:space="0" w:color="auto"/>
              <w:right w:val="nil"/>
            </w:tcBorders>
            <w:vAlign w:val="center"/>
          </w:tcPr>
          <w:p w14:paraId="0E0D2078" w14:textId="77777777" w:rsidR="007D16C3" w:rsidRDefault="007D16C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20A9B543" w14:textId="77777777">
        <w:trPr>
          <w:cantSplit/>
          <w:trHeight w:hRule="exact" w:val="1200"/>
        </w:trPr>
        <w:tc>
          <w:tcPr>
            <w:tcW w:w="11448" w:type="dxa"/>
            <w:gridSpan w:val="10"/>
            <w:tcBorders>
              <w:top w:val="nil"/>
              <w:left w:val="nil"/>
              <w:bottom w:val="single" w:sz="4" w:space="0" w:color="auto"/>
              <w:right w:val="nil"/>
            </w:tcBorders>
          </w:tcPr>
          <w:p w14:paraId="1D340AA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08A0B6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AE43A9E"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0329A">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0329A">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0329A">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518479BF" w14:textId="77777777">
        <w:trPr>
          <w:cantSplit/>
          <w:trHeight w:hRule="exact" w:val="600"/>
        </w:trPr>
        <w:tc>
          <w:tcPr>
            <w:tcW w:w="11448" w:type="dxa"/>
            <w:gridSpan w:val="10"/>
            <w:tcBorders>
              <w:top w:val="single" w:sz="4" w:space="0" w:color="auto"/>
              <w:left w:val="nil"/>
              <w:bottom w:val="nil"/>
              <w:right w:val="nil"/>
            </w:tcBorders>
          </w:tcPr>
          <w:p w14:paraId="299B9A8A" w14:textId="1D8DE944"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E77F83">
              <w:rPr>
                <w:b w:val="0"/>
              </w:rPr>
              <w:t>impression (</w:t>
            </w:r>
            <w:r w:rsidRPr="00097390">
              <w:rPr>
                <w:b w:val="0"/>
              </w:rPr>
              <w:t>“working hypothesis</w:t>
            </w:r>
            <w:r w:rsidR="0031599E" w:rsidRPr="00097390">
              <w:rPr>
                <w:b w:val="0"/>
              </w:rPr>
              <w:t>.”</w:t>
            </w:r>
            <w:r w:rsidR="00E77F83">
              <w:rPr>
                <w:b w:val="0"/>
              </w:rPr>
              <w:t>)</w:t>
            </w:r>
          </w:p>
        </w:tc>
      </w:tr>
      <w:tr w:rsidR="003379BD" w14:paraId="37D8E8B5" w14:textId="77777777" w:rsidTr="00B1786E">
        <w:trPr>
          <w:cantSplit/>
          <w:trHeight w:val="1051"/>
        </w:trPr>
        <w:tc>
          <w:tcPr>
            <w:tcW w:w="11448" w:type="dxa"/>
            <w:gridSpan w:val="10"/>
            <w:tcBorders>
              <w:top w:val="nil"/>
              <w:left w:val="nil"/>
              <w:bottom w:val="single" w:sz="4" w:space="0" w:color="auto"/>
              <w:right w:val="nil"/>
            </w:tcBorders>
          </w:tcPr>
          <w:p w14:paraId="623F7784"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7A4C8BDF" w14:textId="77777777">
        <w:trPr>
          <w:cantSplit/>
          <w:trHeight w:val="240"/>
        </w:trPr>
        <w:tc>
          <w:tcPr>
            <w:tcW w:w="11448" w:type="dxa"/>
            <w:gridSpan w:val="10"/>
            <w:tcBorders>
              <w:top w:val="single" w:sz="4" w:space="0" w:color="auto"/>
              <w:left w:val="nil"/>
              <w:bottom w:val="nil"/>
              <w:right w:val="nil"/>
            </w:tcBorders>
          </w:tcPr>
          <w:p w14:paraId="176434DC"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7C5DEEE" w14:textId="77777777">
        <w:trPr>
          <w:cantSplit/>
          <w:trHeight w:val="240"/>
        </w:trPr>
        <w:tc>
          <w:tcPr>
            <w:tcW w:w="5724" w:type="dxa"/>
            <w:gridSpan w:val="4"/>
            <w:tcBorders>
              <w:top w:val="nil"/>
              <w:left w:val="nil"/>
              <w:bottom w:val="nil"/>
              <w:right w:val="nil"/>
            </w:tcBorders>
            <w:vAlign w:val="center"/>
          </w:tcPr>
          <w:p w14:paraId="659EF3C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DFC012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79F7952" w14:textId="77777777">
        <w:trPr>
          <w:cantSplit/>
          <w:trHeight w:val="240"/>
        </w:trPr>
        <w:tc>
          <w:tcPr>
            <w:tcW w:w="5724" w:type="dxa"/>
            <w:gridSpan w:val="4"/>
            <w:tcBorders>
              <w:top w:val="nil"/>
              <w:left w:val="nil"/>
              <w:bottom w:val="nil"/>
              <w:right w:val="nil"/>
            </w:tcBorders>
            <w:vAlign w:val="center"/>
          </w:tcPr>
          <w:p w14:paraId="2D064A8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565A60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C3C0C0E" w14:textId="77777777">
        <w:trPr>
          <w:cantSplit/>
          <w:trHeight w:val="240"/>
        </w:trPr>
        <w:tc>
          <w:tcPr>
            <w:tcW w:w="5724" w:type="dxa"/>
            <w:gridSpan w:val="4"/>
            <w:tcBorders>
              <w:top w:val="nil"/>
              <w:left w:val="nil"/>
              <w:bottom w:val="nil"/>
              <w:right w:val="nil"/>
            </w:tcBorders>
            <w:vAlign w:val="center"/>
          </w:tcPr>
          <w:p w14:paraId="0BFDEE4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7AB93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253DDBC" w14:textId="77777777" w:rsidTr="0007544E">
        <w:trPr>
          <w:cantSplit/>
          <w:trHeight w:val="612"/>
        </w:trPr>
        <w:tc>
          <w:tcPr>
            <w:tcW w:w="11448" w:type="dxa"/>
            <w:gridSpan w:val="10"/>
            <w:tcBorders>
              <w:top w:val="nil"/>
              <w:left w:val="nil"/>
              <w:bottom w:val="nil"/>
              <w:right w:val="nil"/>
            </w:tcBorders>
          </w:tcPr>
          <w:p w14:paraId="26A77C2F"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2CC59298" w14:textId="77777777">
        <w:trPr>
          <w:cantSplit/>
          <w:trHeight w:hRule="exact" w:val="240"/>
        </w:trPr>
        <w:tc>
          <w:tcPr>
            <w:tcW w:w="11448" w:type="dxa"/>
            <w:gridSpan w:val="10"/>
            <w:tcBorders>
              <w:top w:val="nil"/>
              <w:left w:val="nil"/>
              <w:bottom w:val="single" w:sz="4" w:space="0" w:color="auto"/>
              <w:right w:val="nil"/>
            </w:tcBorders>
          </w:tcPr>
          <w:p w14:paraId="666E33C9" w14:textId="77777777" w:rsidR="003379BD" w:rsidRDefault="003379BD">
            <w:pPr>
              <w:pStyle w:val="Heading4"/>
              <w:tabs>
                <w:tab w:val="left" w:pos="540"/>
              </w:tabs>
              <w:spacing w:before="0"/>
              <w:jc w:val="left"/>
            </w:pPr>
          </w:p>
        </w:tc>
      </w:tr>
      <w:tr w:rsidR="003379BD" w14:paraId="31A53D92" w14:textId="77777777">
        <w:trPr>
          <w:cantSplit/>
          <w:trHeight w:hRule="exact" w:val="240"/>
        </w:trPr>
        <w:tc>
          <w:tcPr>
            <w:tcW w:w="11448" w:type="dxa"/>
            <w:gridSpan w:val="10"/>
            <w:tcBorders>
              <w:top w:val="nil"/>
              <w:left w:val="nil"/>
              <w:bottom w:val="nil"/>
              <w:right w:val="nil"/>
            </w:tcBorders>
          </w:tcPr>
          <w:p w14:paraId="3295A344"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531279F" w14:textId="77777777" w:rsidTr="00934FD5">
        <w:trPr>
          <w:cantSplit/>
          <w:trHeight w:val="288"/>
        </w:trPr>
        <w:tc>
          <w:tcPr>
            <w:tcW w:w="3816" w:type="dxa"/>
            <w:gridSpan w:val="2"/>
            <w:tcBorders>
              <w:top w:val="nil"/>
              <w:left w:val="nil"/>
              <w:bottom w:val="nil"/>
              <w:right w:val="nil"/>
            </w:tcBorders>
            <w:vAlign w:val="center"/>
          </w:tcPr>
          <w:p w14:paraId="2B37EA0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0329A">
              <w:rPr>
                <w:b w:val="0"/>
              </w:rPr>
            </w:r>
            <w:r w:rsidR="00C0329A">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B19B5CF"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0329A">
              <w:rPr>
                <w:b w:val="0"/>
              </w:rPr>
            </w:r>
            <w:r w:rsidR="00C0329A">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4608092"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0329A">
              <w:rPr>
                <w:b w:val="0"/>
              </w:rPr>
            </w:r>
            <w:r w:rsidR="00C0329A">
              <w:rPr>
                <w:b w:val="0"/>
              </w:rPr>
              <w:fldChar w:fldCharType="separate"/>
            </w:r>
            <w:r>
              <w:rPr>
                <w:b w:val="0"/>
              </w:rPr>
              <w:fldChar w:fldCharType="end"/>
            </w:r>
            <w:bookmarkEnd w:id="19"/>
            <w:r>
              <w:rPr>
                <w:b w:val="0"/>
              </w:rPr>
              <w:t xml:space="preserve"> Social Functioning</w:t>
            </w:r>
          </w:p>
        </w:tc>
      </w:tr>
      <w:tr w:rsidR="003379BD" w14:paraId="295DB18F" w14:textId="77777777">
        <w:trPr>
          <w:cantSplit/>
          <w:trHeight w:val="240"/>
        </w:trPr>
        <w:tc>
          <w:tcPr>
            <w:tcW w:w="3816" w:type="dxa"/>
            <w:gridSpan w:val="2"/>
            <w:tcBorders>
              <w:top w:val="nil"/>
              <w:left w:val="nil"/>
              <w:bottom w:val="nil"/>
              <w:right w:val="nil"/>
            </w:tcBorders>
          </w:tcPr>
          <w:p w14:paraId="09C9DCA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02296A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9F9A5E2" w14:textId="77777777" w:rsidR="003379BD" w:rsidRDefault="003379BD">
            <w:pPr>
              <w:pStyle w:val="Heading4"/>
              <w:tabs>
                <w:tab w:val="left" w:pos="540"/>
              </w:tabs>
              <w:jc w:val="left"/>
              <w:rPr>
                <w:b w:val="0"/>
              </w:rPr>
            </w:pPr>
          </w:p>
        </w:tc>
      </w:tr>
      <w:tr w:rsidR="003379BD" w14:paraId="56E8D7A0" w14:textId="77777777">
        <w:trPr>
          <w:cantSplit/>
          <w:trHeight w:val="192"/>
        </w:trPr>
        <w:tc>
          <w:tcPr>
            <w:tcW w:w="5724" w:type="dxa"/>
            <w:gridSpan w:val="4"/>
            <w:tcBorders>
              <w:top w:val="nil"/>
              <w:left w:val="nil"/>
              <w:bottom w:val="nil"/>
              <w:right w:val="nil"/>
            </w:tcBorders>
          </w:tcPr>
          <w:p w14:paraId="0A71885B"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4088B086" w14:textId="77777777" w:rsidR="003379BD" w:rsidRDefault="003379BD">
            <w:pPr>
              <w:pStyle w:val="Heading4"/>
              <w:tabs>
                <w:tab w:val="left" w:pos="540"/>
              </w:tabs>
              <w:jc w:val="left"/>
              <w:rPr>
                <w:b w:val="0"/>
              </w:rPr>
            </w:pPr>
          </w:p>
        </w:tc>
      </w:tr>
      <w:bookmarkStart w:id="20" w:name="_Hlk151783589"/>
      <w:tr w:rsidR="003379BD" w14:paraId="6AC3A98A" w14:textId="77777777">
        <w:trPr>
          <w:cantSplit/>
          <w:trHeight w:val="192"/>
        </w:trPr>
        <w:tc>
          <w:tcPr>
            <w:tcW w:w="5724" w:type="dxa"/>
            <w:gridSpan w:val="4"/>
            <w:tcBorders>
              <w:top w:val="nil"/>
              <w:left w:val="nil"/>
              <w:bottom w:val="nil"/>
              <w:right w:val="nil"/>
            </w:tcBorders>
            <w:vAlign w:val="center"/>
          </w:tcPr>
          <w:p w14:paraId="3DA4F1E3"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0329A">
              <w:rPr>
                <w:b w:val="0"/>
              </w:rPr>
            </w:r>
            <w:r w:rsidR="00C0329A">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BE0665B"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0329A">
              <w:rPr>
                <w:b w:val="0"/>
              </w:rPr>
            </w:r>
            <w:r w:rsidR="00C0329A">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900C52D" w14:textId="77777777">
        <w:trPr>
          <w:cantSplit/>
          <w:trHeight w:val="192"/>
        </w:trPr>
        <w:tc>
          <w:tcPr>
            <w:tcW w:w="5724" w:type="dxa"/>
            <w:gridSpan w:val="4"/>
            <w:tcBorders>
              <w:top w:val="nil"/>
              <w:left w:val="nil"/>
              <w:bottom w:val="nil"/>
              <w:right w:val="nil"/>
            </w:tcBorders>
            <w:vAlign w:val="center"/>
          </w:tcPr>
          <w:p w14:paraId="6F4C1654"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0329A">
              <w:rPr>
                <w:b w:val="0"/>
              </w:rPr>
            </w:r>
            <w:r w:rsidR="00C0329A">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550196B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0329A">
              <w:rPr>
                <w:b w:val="0"/>
              </w:rPr>
            </w:r>
            <w:r w:rsidR="00C0329A">
              <w:rPr>
                <w:b w:val="0"/>
              </w:rPr>
              <w:fldChar w:fldCharType="separate"/>
            </w:r>
            <w:r>
              <w:rPr>
                <w:b w:val="0"/>
              </w:rPr>
              <w:fldChar w:fldCharType="end"/>
            </w:r>
            <w:bookmarkEnd w:id="24"/>
            <w:r>
              <w:rPr>
                <w:b w:val="0"/>
              </w:rPr>
              <w:t xml:space="preserve"> Intervention of law enforcement authorities</w:t>
            </w:r>
          </w:p>
        </w:tc>
      </w:tr>
      <w:tr w:rsidR="003379BD" w14:paraId="1604185D" w14:textId="77777777">
        <w:trPr>
          <w:cantSplit/>
          <w:trHeight w:val="192"/>
        </w:trPr>
        <w:tc>
          <w:tcPr>
            <w:tcW w:w="5724" w:type="dxa"/>
            <w:gridSpan w:val="4"/>
            <w:tcBorders>
              <w:top w:val="nil"/>
              <w:left w:val="nil"/>
              <w:bottom w:val="nil"/>
              <w:right w:val="nil"/>
            </w:tcBorders>
            <w:vAlign w:val="center"/>
          </w:tcPr>
          <w:p w14:paraId="6D99142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0329A">
              <w:rPr>
                <w:b w:val="0"/>
              </w:rPr>
            </w:r>
            <w:r w:rsidR="00C0329A">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4A62C74"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0329A">
              <w:rPr>
                <w:b w:val="0"/>
              </w:rPr>
            </w:r>
            <w:r w:rsidR="00C0329A">
              <w:rPr>
                <w:b w:val="0"/>
              </w:rPr>
              <w:fldChar w:fldCharType="separate"/>
            </w:r>
            <w:r>
              <w:rPr>
                <w:b w:val="0"/>
              </w:rPr>
              <w:fldChar w:fldCharType="end"/>
            </w:r>
            <w:bookmarkEnd w:id="26"/>
            <w:r>
              <w:rPr>
                <w:b w:val="0"/>
              </w:rPr>
              <w:t xml:space="preserve"> Risk of harm to self or others</w:t>
            </w:r>
          </w:p>
        </w:tc>
      </w:tr>
      <w:tr w:rsidR="003379BD" w14:paraId="081335F0" w14:textId="77777777">
        <w:trPr>
          <w:cantSplit/>
          <w:trHeight w:val="192"/>
        </w:trPr>
        <w:tc>
          <w:tcPr>
            <w:tcW w:w="5724" w:type="dxa"/>
            <w:gridSpan w:val="4"/>
            <w:tcBorders>
              <w:top w:val="nil"/>
              <w:left w:val="nil"/>
              <w:bottom w:val="nil"/>
              <w:right w:val="nil"/>
            </w:tcBorders>
            <w:vAlign w:val="center"/>
          </w:tcPr>
          <w:p w14:paraId="3627606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0329A">
              <w:rPr>
                <w:b w:val="0"/>
              </w:rPr>
            </w:r>
            <w:r w:rsidR="00C0329A">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FAB4217" w14:textId="77777777" w:rsidR="003379BD" w:rsidRDefault="003379BD">
            <w:pPr>
              <w:pStyle w:val="Heading4"/>
              <w:tabs>
                <w:tab w:val="left" w:pos="540"/>
              </w:tabs>
              <w:spacing w:before="0"/>
              <w:jc w:val="left"/>
              <w:rPr>
                <w:b w:val="0"/>
              </w:rPr>
            </w:pPr>
          </w:p>
        </w:tc>
      </w:tr>
      <w:bookmarkEnd w:id="20"/>
      <w:tr w:rsidR="003379BD" w14:paraId="4767D1DC" w14:textId="77777777" w:rsidTr="0007544E">
        <w:trPr>
          <w:cantSplit/>
          <w:trHeight w:val="1107"/>
        </w:trPr>
        <w:tc>
          <w:tcPr>
            <w:tcW w:w="11448" w:type="dxa"/>
            <w:gridSpan w:val="10"/>
            <w:tcBorders>
              <w:top w:val="nil"/>
              <w:left w:val="nil"/>
              <w:bottom w:val="single" w:sz="4" w:space="0" w:color="auto"/>
              <w:right w:val="nil"/>
            </w:tcBorders>
          </w:tcPr>
          <w:p w14:paraId="6408F9E6"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6A382C72" w14:textId="77777777">
        <w:trPr>
          <w:cantSplit/>
          <w:trHeight w:hRule="exact" w:val="440"/>
        </w:trPr>
        <w:tc>
          <w:tcPr>
            <w:tcW w:w="11448" w:type="dxa"/>
            <w:gridSpan w:val="10"/>
            <w:tcBorders>
              <w:top w:val="single" w:sz="4" w:space="0" w:color="auto"/>
              <w:left w:val="nil"/>
              <w:bottom w:val="single" w:sz="4" w:space="0" w:color="auto"/>
              <w:right w:val="nil"/>
            </w:tcBorders>
          </w:tcPr>
          <w:p w14:paraId="74EAAE93"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80DF2C0" w14:textId="77777777" w:rsidR="003379BD" w:rsidRDefault="00464819">
      <w:pPr>
        <w:jc w:val="right"/>
        <w:rPr>
          <w:rFonts w:ascii="Arial" w:hAnsi="Arial"/>
          <w:sz w:val="18"/>
        </w:rPr>
      </w:pPr>
      <w:r>
        <w:rPr>
          <w:rFonts w:ascii="Arial" w:hAnsi="Arial"/>
          <w:sz w:val="18"/>
        </w:rPr>
        <w:t>See Page 2</w:t>
      </w:r>
    </w:p>
    <w:p w14:paraId="1A26615B"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4CCA6AB" w14:textId="77777777">
        <w:trPr>
          <w:tblHeader/>
        </w:trPr>
        <w:tc>
          <w:tcPr>
            <w:tcW w:w="4788" w:type="dxa"/>
            <w:tcBorders>
              <w:top w:val="nil"/>
              <w:left w:val="nil"/>
              <w:bottom w:val="nil"/>
              <w:right w:val="nil"/>
            </w:tcBorders>
          </w:tcPr>
          <w:p w14:paraId="4D719CFA"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A9FF026" w14:textId="77777777" w:rsidR="003379BD" w:rsidRDefault="003379BD" w:rsidP="00854D93">
            <w:pPr>
              <w:rPr>
                <w:rFonts w:ascii="Arial" w:hAnsi="Arial"/>
                <w:sz w:val="18"/>
              </w:rPr>
            </w:pPr>
            <w:r>
              <w:rPr>
                <w:rFonts w:ascii="Arial" w:hAnsi="Arial"/>
                <w:sz w:val="18"/>
              </w:rPr>
              <w:t xml:space="preserve">Medication: </w:t>
            </w:r>
            <w:r w:rsidR="00854D93">
              <w:rPr>
                <w:sz w:val="22"/>
              </w:rPr>
              <w:t>Intuniv</w:t>
            </w:r>
            <w:r w:rsidR="0007544E">
              <w:rPr>
                <w:sz w:val="22"/>
              </w:rPr>
              <w:t xml:space="preserve">, </w:t>
            </w:r>
            <w:r w:rsidR="0007544E" w:rsidRPr="0007544E">
              <w:rPr>
                <w:sz w:val="22"/>
              </w:rPr>
              <w:t>Tenex</w:t>
            </w:r>
            <w:r w:rsidR="00097390" w:rsidRPr="00097390">
              <w:rPr>
                <w:sz w:val="22"/>
              </w:rPr>
              <w:t xml:space="preserve"> </w:t>
            </w:r>
            <w:r w:rsidR="00097390">
              <w:rPr>
                <w:rFonts w:ascii="Arial" w:hAnsi="Arial" w:cs="Arial"/>
                <w:sz w:val="18"/>
              </w:rPr>
              <w:t>–</w:t>
            </w:r>
            <w:r>
              <w:rPr>
                <w:rFonts w:ascii="Arial" w:hAnsi="Arial"/>
                <w:sz w:val="18"/>
              </w:rPr>
              <w:t xml:space="preserve"> (</w:t>
            </w:r>
            <w:r w:rsidR="00C4423F" w:rsidRPr="00F125E2">
              <w:rPr>
                <w:noProof/>
                <w:sz w:val="22"/>
              </w:rPr>
              <w:t>guanfacine</w:t>
            </w:r>
            <w:r w:rsidR="00C4423F">
              <w:rPr>
                <w:rFonts w:ascii="Arial" w:hAnsi="Arial"/>
                <w:sz w:val="18"/>
              </w:rPr>
              <w:t>)</w:t>
            </w:r>
          </w:p>
        </w:tc>
      </w:tr>
      <w:tr w:rsidR="003379BD" w14:paraId="5D33E10A" w14:textId="77777777">
        <w:trPr>
          <w:cantSplit/>
        </w:trPr>
        <w:tc>
          <w:tcPr>
            <w:tcW w:w="11448" w:type="dxa"/>
            <w:gridSpan w:val="2"/>
            <w:tcBorders>
              <w:top w:val="single" w:sz="4" w:space="0" w:color="auto"/>
              <w:left w:val="nil"/>
              <w:bottom w:val="single" w:sz="4" w:space="0" w:color="auto"/>
              <w:right w:val="nil"/>
            </w:tcBorders>
          </w:tcPr>
          <w:p w14:paraId="3A229ED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7FFAAF4" w14:textId="77777777" w:rsidTr="00683097">
        <w:trPr>
          <w:cantSplit/>
          <w:trHeight w:val="864"/>
        </w:trPr>
        <w:tc>
          <w:tcPr>
            <w:tcW w:w="11448" w:type="dxa"/>
            <w:gridSpan w:val="2"/>
            <w:tcBorders>
              <w:top w:val="single" w:sz="4" w:space="0" w:color="auto"/>
              <w:left w:val="nil"/>
              <w:bottom w:val="nil"/>
              <w:right w:val="nil"/>
            </w:tcBorders>
          </w:tcPr>
          <w:p w14:paraId="2A4D150D"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A2D5415" w14:textId="77777777" w:rsidR="00AB61E7" w:rsidRPr="000D4BC9" w:rsidRDefault="003379BD" w:rsidP="000D4BC9">
            <w:pPr>
              <w:pStyle w:val="Heading6"/>
              <w:spacing w:before="120"/>
              <w:rPr>
                <w:sz w:val="18"/>
                <w:szCs w:val="18"/>
              </w:rPr>
            </w:pPr>
            <w:r w:rsidRPr="0056414C">
              <w:rPr>
                <w:sz w:val="18"/>
                <w:szCs w:val="18"/>
              </w:rPr>
              <w:t>Most Common Side Effects</w:t>
            </w:r>
            <w:r w:rsidR="000D4BC9">
              <w:rPr>
                <w:sz w:val="18"/>
                <w:szCs w:val="18"/>
              </w:rPr>
              <w:t>:</w:t>
            </w:r>
            <w:r w:rsidR="000D4BC9">
              <w:rPr>
                <w:rFonts w:cs="Arial"/>
                <w:b w:val="0"/>
                <w:sz w:val="18"/>
                <w:szCs w:val="18"/>
              </w:rPr>
              <w:t xml:space="preserve"> Drowsiness; headache; fatigue; dizziness; insomnia (not able to fall asleep or stay asleep); abdominal pain; decreased appetite</w:t>
            </w:r>
            <w:r w:rsidR="00AB61E7" w:rsidRPr="000D4BC9">
              <w:rPr>
                <w:rFonts w:cs="Arial"/>
                <w:b w:val="0"/>
                <w:sz w:val="18"/>
                <w:szCs w:val="18"/>
              </w:rPr>
              <w:t>.</w:t>
            </w:r>
          </w:p>
        </w:tc>
      </w:tr>
      <w:tr w:rsidR="003379BD" w14:paraId="42E1A7CD" w14:textId="77777777" w:rsidTr="00683097">
        <w:trPr>
          <w:cantSplit/>
          <w:trHeight w:val="576"/>
        </w:trPr>
        <w:tc>
          <w:tcPr>
            <w:tcW w:w="11448" w:type="dxa"/>
            <w:gridSpan w:val="2"/>
            <w:tcBorders>
              <w:top w:val="nil"/>
              <w:left w:val="nil"/>
              <w:bottom w:val="nil"/>
              <w:right w:val="nil"/>
            </w:tcBorders>
          </w:tcPr>
          <w:p w14:paraId="564E401C" w14:textId="77777777" w:rsidR="00967034" w:rsidRPr="000D4BC9"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0D4BC9">
              <w:rPr>
                <w:rFonts w:ascii="Arial" w:hAnsi="Arial"/>
                <w:b/>
                <w:snapToGrid w:val="0"/>
                <w:color w:val="000000"/>
                <w:sz w:val="18"/>
              </w:rPr>
              <w:t xml:space="preserve">: </w:t>
            </w:r>
            <w:r w:rsidR="000D4BC9">
              <w:rPr>
                <w:rFonts w:ascii="Arial" w:hAnsi="Arial" w:cs="Arial"/>
                <w:sz w:val="18"/>
                <w:szCs w:val="18"/>
              </w:rPr>
              <w:t>low blood pressure; feeling light headed or faint, especially when standing from a seated position; slow or fast heartbeat; irregular heartbeat; irritability; feeling tired or sluggish; anxiety; nightmares; unable to control emotions; agitation; depression; high blood pressure; loss of consciousness; skin rash; itchy skin; weight gain; dry mouth; nausea; vomiting; diarrhea; constipation; regurgitation of stomach acid or taste of acid in the mouth; urinary incontinence; worsening asthma; fever.</w:t>
            </w:r>
          </w:p>
          <w:p w14:paraId="12FE5A7A" w14:textId="77777777" w:rsidR="00967034" w:rsidRPr="00967034" w:rsidRDefault="00967034" w:rsidP="00AD441D">
            <w:pPr>
              <w:rPr>
                <w:rFonts w:ascii="Arial" w:hAnsi="Arial" w:cs="Arial"/>
                <w:sz w:val="18"/>
                <w:szCs w:val="18"/>
              </w:rPr>
            </w:pPr>
          </w:p>
        </w:tc>
      </w:tr>
      <w:tr w:rsidR="003379BD" w14:paraId="3BA7F05D" w14:textId="77777777" w:rsidTr="00683097">
        <w:trPr>
          <w:cantSplit/>
          <w:trHeight w:val="576"/>
        </w:trPr>
        <w:tc>
          <w:tcPr>
            <w:tcW w:w="11448" w:type="dxa"/>
            <w:gridSpan w:val="2"/>
            <w:tcBorders>
              <w:top w:val="nil"/>
              <w:left w:val="nil"/>
              <w:bottom w:val="nil"/>
              <w:right w:val="nil"/>
            </w:tcBorders>
          </w:tcPr>
          <w:p w14:paraId="65EF4720" w14:textId="77777777" w:rsidR="003379BD" w:rsidRPr="000D4BC9" w:rsidRDefault="003379BD" w:rsidP="00AD441D">
            <w:pPr>
              <w:rPr>
                <w:rFonts w:ascii="Arial" w:hAnsi="Arial"/>
                <w:sz w:val="18"/>
              </w:rPr>
            </w:pPr>
            <w:r>
              <w:rPr>
                <w:rFonts w:ascii="Arial" w:hAnsi="Arial"/>
                <w:b/>
                <w:sz w:val="18"/>
              </w:rPr>
              <w:t>Rare Side Effects</w:t>
            </w:r>
            <w:r w:rsidR="000D4BC9">
              <w:rPr>
                <w:rFonts w:ascii="Arial" w:hAnsi="Arial"/>
                <w:b/>
                <w:sz w:val="18"/>
              </w:rPr>
              <w:t xml:space="preserve">: </w:t>
            </w:r>
            <w:r w:rsidR="0019492A">
              <w:rPr>
                <w:rFonts w:ascii="Arial" w:hAnsi="Arial"/>
                <w:sz w:val="18"/>
              </w:rPr>
              <w:t>Although rare, contact your doctor as soon as possible if any of the following occur: chest pain; extremely elevated blood pressure; pale skin or lips; seizures; increased need to urinate; muscle weakness; hair loss; changes to vision; tingling of the hands, feet, or face; unable to obtain or maintain an erection; leg pain or cramps; hallucinations; swelling of the hand, legs, or feet; difficulty breathing; swelling of the face, lips, or tongue; severe rash or hives.</w:t>
            </w:r>
          </w:p>
          <w:p w14:paraId="278886CB" w14:textId="77777777" w:rsidR="00813B83" w:rsidRPr="00813B83" w:rsidRDefault="00813B83" w:rsidP="000D4BC9">
            <w:pPr>
              <w:rPr>
                <w:rFonts w:ascii="Arial" w:hAnsi="Arial" w:cs="Arial"/>
                <w:sz w:val="18"/>
                <w:szCs w:val="18"/>
              </w:rPr>
            </w:pPr>
          </w:p>
        </w:tc>
      </w:tr>
      <w:tr w:rsidR="003379BD" w14:paraId="0CC64281" w14:textId="77777777" w:rsidTr="00683097">
        <w:trPr>
          <w:cantSplit/>
          <w:trHeight w:val="576"/>
        </w:trPr>
        <w:tc>
          <w:tcPr>
            <w:tcW w:w="11448" w:type="dxa"/>
            <w:gridSpan w:val="2"/>
            <w:tcBorders>
              <w:top w:val="nil"/>
              <w:left w:val="nil"/>
              <w:bottom w:val="nil"/>
              <w:right w:val="nil"/>
            </w:tcBorders>
          </w:tcPr>
          <w:p w14:paraId="34BCF8BA"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509EC259" w14:textId="77777777" w:rsidR="0019492A" w:rsidRDefault="0019492A" w:rsidP="00AD441D">
            <w:pPr>
              <w:rPr>
                <w:rFonts w:ascii="Arial" w:hAnsi="Arial"/>
                <w:b/>
                <w:snapToGrid w:val="0"/>
                <w:color w:val="000000"/>
                <w:sz w:val="18"/>
              </w:rPr>
            </w:pPr>
          </w:p>
          <w:p w14:paraId="7592B4CF" w14:textId="77777777" w:rsidR="0019492A" w:rsidRPr="0019492A" w:rsidRDefault="0019492A" w:rsidP="0019492A">
            <w:pPr>
              <w:pStyle w:val="ListParagraph"/>
              <w:numPr>
                <w:ilvl w:val="0"/>
                <w:numId w:val="5"/>
              </w:numPr>
              <w:rPr>
                <w:rFonts w:ascii="Arial" w:hAnsi="Arial"/>
                <w:b/>
                <w:snapToGrid w:val="0"/>
                <w:color w:val="000000"/>
                <w:sz w:val="18"/>
              </w:rPr>
            </w:pPr>
            <w:r>
              <w:rPr>
                <w:rFonts w:ascii="Arial" w:hAnsi="Arial"/>
                <w:b/>
                <w:snapToGrid w:val="0"/>
                <w:color w:val="000000"/>
                <w:sz w:val="18"/>
              </w:rPr>
              <w:t>Withdrawal</w:t>
            </w:r>
          </w:p>
          <w:p w14:paraId="182F594B" w14:textId="77777777" w:rsidR="00B37970" w:rsidRDefault="00B37970" w:rsidP="0019492A">
            <w:pPr>
              <w:pStyle w:val="ListParagraph"/>
              <w:rPr>
                <w:rFonts w:ascii="Arial" w:hAnsi="Arial" w:cs="Arial"/>
                <w:sz w:val="18"/>
                <w:szCs w:val="18"/>
              </w:rPr>
            </w:pPr>
            <w:r w:rsidRPr="0019492A">
              <w:rPr>
                <w:rFonts w:ascii="Arial" w:hAnsi="Arial" w:cs="Arial"/>
                <w:sz w:val="18"/>
                <w:szCs w:val="18"/>
              </w:rPr>
              <w:t xml:space="preserve">There is a risk of symptoms of nervousness and anxiety and, less commonly, rebound hypertension, if guanfacine is stopped abruptly. </w:t>
            </w:r>
            <w:r w:rsidR="0019492A">
              <w:rPr>
                <w:rFonts w:ascii="Arial" w:hAnsi="Arial" w:cs="Arial"/>
                <w:sz w:val="18"/>
                <w:szCs w:val="18"/>
              </w:rPr>
              <w:t>Before stopping this medication, please speak with your doctor, who can help find a plan that is right for you.</w:t>
            </w:r>
          </w:p>
          <w:p w14:paraId="6B8161E4" w14:textId="77777777" w:rsidR="0019492A" w:rsidRPr="0019492A" w:rsidRDefault="0019492A" w:rsidP="0019492A">
            <w:pPr>
              <w:pStyle w:val="ListParagraph"/>
              <w:rPr>
                <w:rFonts w:ascii="Arial" w:hAnsi="Arial" w:cs="Arial"/>
                <w:b/>
                <w:sz w:val="18"/>
                <w:szCs w:val="18"/>
              </w:rPr>
            </w:pPr>
            <w:r>
              <w:rPr>
                <w:rFonts w:ascii="Arial" w:hAnsi="Arial" w:cs="Arial"/>
                <w:b/>
                <w:sz w:val="18"/>
                <w:szCs w:val="18"/>
              </w:rPr>
              <w:t>Driving and operating heavy machinery</w:t>
            </w:r>
          </w:p>
          <w:p w14:paraId="5D956B40" w14:textId="77777777" w:rsidR="00B37970" w:rsidRDefault="000D4BC9" w:rsidP="0019492A">
            <w:pPr>
              <w:pStyle w:val="ListParagraph"/>
              <w:numPr>
                <w:ilvl w:val="0"/>
                <w:numId w:val="5"/>
              </w:numPr>
              <w:rPr>
                <w:rFonts w:ascii="Arial" w:hAnsi="Arial" w:cs="Arial"/>
                <w:sz w:val="18"/>
                <w:szCs w:val="18"/>
              </w:rPr>
            </w:pPr>
            <w:r w:rsidRPr="0019492A">
              <w:rPr>
                <w:rFonts w:ascii="Arial" w:hAnsi="Arial" w:cs="Arial"/>
                <w:sz w:val="18"/>
                <w:szCs w:val="18"/>
              </w:rPr>
              <w:t>Exercise caution when op</w:t>
            </w:r>
            <w:r w:rsidR="0019492A">
              <w:rPr>
                <w:rFonts w:ascii="Arial" w:hAnsi="Arial" w:cs="Arial"/>
                <w:sz w:val="18"/>
                <w:szCs w:val="18"/>
              </w:rPr>
              <w:t xml:space="preserve">erating heavy machinery, driving a car, or participating in any other activity that could be dangerous if not fully alert. Wait to know how this medication affects you before participating in these activities. </w:t>
            </w:r>
          </w:p>
          <w:p w14:paraId="4840672B" w14:textId="77777777" w:rsidR="00C6177D" w:rsidRPr="00C6177D" w:rsidRDefault="00C6177D" w:rsidP="00C6177D">
            <w:pPr>
              <w:pStyle w:val="ListParagraph"/>
              <w:numPr>
                <w:ilvl w:val="0"/>
                <w:numId w:val="5"/>
              </w:numPr>
              <w:rPr>
                <w:rFonts w:ascii="Arial" w:hAnsi="Arial" w:cs="Arial"/>
                <w:sz w:val="18"/>
                <w:szCs w:val="18"/>
              </w:rPr>
            </w:pPr>
            <w:r>
              <w:rPr>
                <w:rFonts w:ascii="Arial" w:hAnsi="Arial" w:cs="Arial"/>
                <w:b/>
                <w:sz w:val="18"/>
                <w:szCs w:val="18"/>
              </w:rPr>
              <w:t>Rash</w:t>
            </w:r>
          </w:p>
          <w:p w14:paraId="69C2AC31" w14:textId="77777777" w:rsidR="00C6177D" w:rsidRDefault="00C6177D" w:rsidP="00C6177D">
            <w:pPr>
              <w:pStyle w:val="ListParagraph"/>
              <w:rPr>
                <w:rFonts w:ascii="Arial" w:hAnsi="Arial" w:cs="Arial"/>
                <w:sz w:val="18"/>
                <w:szCs w:val="18"/>
              </w:rPr>
            </w:pPr>
            <w:r w:rsidRPr="00C6177D">
              <w:rPr>
                <w:rFonts w:ascii="Arial" w:hAnsi="Arial" w:cs="Arial"/>
                <w:sz w:val="18"/>
                <w:szCs w:val="18"/>
              </w:rPr>
              <w:t>Skin rash with exfoliation and pruritus have been reported; discontinue g</w:t>
            </w:r>
            <w:r w:rsidR="00503F28">
              <w:rPr>
                <w:rFonts w:ascii="Arial" w:hAnsi="Arial" w:cs="Arial"/>
                <w:sz w:val="18"/>
                <w:szCs w:val="18"/>
              </w:rPr>
              <w:t xml:space="preserve">uanfacine and call your doctor if you </w:t>
            </w:r>
            <w:r w:rsidRPr="00C6177D">
              <w:rPr>
                <w:rFonts w:ascii="Arial" w:hAnsi="Arial" w:cs="Arial"/>
                <w:sz w:val="18"/>
                <w:szCs w:val="18"/>
              </w:rPr>
              <w:t>develop a rash.</w:t>
            </w:r>
          </w:p>
          <w:p w14:paraId="6C54D041" w14:textId="77777777" w:rsidR="00C6177D" w:rsidRPr="00C6177D" w:rsidRDefault="00C6177D" w:rsidP="00C6177D">
            <w:pPr>
              <w:pStyle w:val="ListParagraph"/>
              <w:rPr>
                <w:rFonts w:ascii="Arial" w:hAnsi="Arial" w:cs="Arial"/>
                <w:sz w:val="18"/>
                <w:szCs w:val="18"/>
              </w:rPr>
            </w:pPr>
          </w:p>
        </w:tc>
      </w:tr>
      <w:tr w:rsidR="003379BD" w14:paraId="5D617D7B" w14:textId="77777777">
        <w:trPr>
          <w:cantSplit/>
          <w:trHeight w:hRule="exact" w:val="288"/>
        </w:trPr>
        <w:tc>
          <w:tcPr>
            <w:tcW w:w="11448" w:type="dxa"/>
            <w:gridSpan w:val="2"/>
            <w:tcBorders>
              <w:top w:val="nil"/>
              <w:left w:val="nil"/>
              <w:bottom w:val="single" w:sz="4" w:space="0" w:color="auto"/>
              <w:right w:val="nil"/>
            </w:tcBorders>
            <w:vAlign w:val="bottom"/>
          </w:tcPr>
          <w:p w14:paraId="2CF21021" w14:textId="25D4E579" w:rsidR="003379BD" w:rsidRDefault="003379BD" w:rsidP="005325D4">
            <w:pPr>
              <w:rPr>
                <w:rFonts w:ascii="Arial" w:hAnsi="Arial"/>
                <w:sz w:val="18"/>
              </w:rPr>
            </w:pPr>
            <w:r>
              <w:rPr>
                <w:rFonts w:ascii="Arial" w:hAnsi="Arial"/>
                <w:sz w:val="18"/>
              </w:rPr>
              <w:t xml:space="preserve">See </w:t>
            </w:r>
            <w:r w:rsidR="00E77F8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76FDF80" w14:textId="77777777">
        <w:trPr>
          <w:cantSplit/>
        </w:trPr>
        <w:tc>
          <w:tcPr>
            <w:tcW w:w="11448" w:type="dxa"/>
            <w:gridSpan w:val="2"/>
            <w:tcBorders>
              <w:top w:val="nil"/>
              <w:left w:val="nil"/>
              <w:bottom w:val="nil"/>
              <w:right w:val="nil"/>
            </w:tcBorders>
          </w:tcPr>
          <w:p w14:paraId="0017BA12" w14:textId="77777777" w:rsidR="003379BD" w:rsidRDefault="003379BD" w:rsidP="0007544E">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949E49C"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2D404A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AC227F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58437A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C56C97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87CD4D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7FE35C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E625F9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EFB3D69" w14:textId="77777777" w:rsidR="003379BD" w:rsidRDefault="003379BD">
            <w:pPr>
              <w:tabs>
                <w:tab w:val="left" w:pos="360"/>
                <w:tab w:val="left" w:pos="630"/>
              </w:tabs>
              <w:rPr>
                <w:rFonts w:ascii="Arial" w:hAnsi="Arial"/>
                <w:sz w:val="10"/>
              </w:rPr>
            </w:pPr>
          </w:p>
        </w:tc>
      </w:tr>
    </w:tbl>
    <w:p w14:paraId="49DE2317"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293BC94" w14:textId="77777777" w:rsidTr="0021563E">
        <w:trPr>
          <w:cantSplit/>
        </w:trPr>
        <w:tc>
          <w:tcPr>
            <w:tcW w:w="9918" w:type="dxa"/>
            <w:gridSpan w:val="5"/>
            <w:tcBorders>
              <w:top w:val="nil"/>
              <w:left w:val="nil"/>
              <w:bottom w:val="nil"/>
              <w:right w:val="nil"/>
            </w:tcBorders>
          </w:tcPr>
          <w:p w14:paraId="69F51147"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9A4CE85" w14:textId="77777777" w:rsidR="003379BD" w:rsidRDefault="005325D4" w:rsidP="0021563E">
            <w:pPr>
              <w:ind w:left="-18"/>
              <w:rPr>
                <w:rFonts w:ascii="Arial" w:hAnsi="Arial"/>
                <w:b/>
                <w:sz w:val="18"/>
              </w:rPr>
            </w:pPr>
            <w:r>
              <w:rPr>
                <w:rFonts w:ascii="Arial" w:hAnsi="Arial"/>
                <w:b/>
                <w:sz w:val="18"/>
              </w:rPr>
              <w:t>DATE SIGNED</w:t>
            </w:r>
          </w:p>
        </w:tc>
      </w:tr>
      <w:tr w:rsidR="003379BD" w14:paraId="6829B36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8B641C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30611C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AE42E9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EDC655E" w14:textId="77777777" w:rsidR="003379BD" w:rsidRDefault="003379BD">
            <w:pPr>
              <w:rPr>
                <w:rFonts w:ascii="Arial" w:hAnsi="Arial"/>
                <w:sz w:val="18"/>
              </w:rPr>
            </w:pPr>
          </w:p>
        </w:tc>
      </w:tr>
      <w:tr w:rsidR="003379BD" w14:paraId="2211CD3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2D4FBD8"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FCE5D7E"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AE58451" w14:textId="77777777" w:rsidR="003379BD" w:rsidRDefault="003379BD">
            <w:pPr>
              <w:rPr>
                <w:rFonts w:ascii="Arial" w:hAnsi="Arial"/>
                <w:sz w:val="18"/>
              </w:rPr>
            </w:pPr>
          </w:p>
        </w:tc>
      </w:tr>
      <w:tr w:rsidR="007A6FC3" w14:paraId="787939DA" w14:textId="77777777">
        <w:trPr>
          <w:cantSplit/>
          <w:trHeight w:hRule="exact" w:val="864"/>
        </w:trPr>
        <w:tc>
          <w:tcPr>
            <w:tcW w:w="11448" w:type="dxa"/>
            <w:gridSpan w:val="6"/>
            <w:tcBorders>
              <w:top w:val="single" w:sz="4" w:space="0" w:color="auto"/>
              <w:left w:val="nil"/>
              <w:bottom w:val="single" w:sz="4" w:space="0" w:color="auto"/>
              <w:right w:val="nil"/>
            </w:tcBorders>
          </w:tcPr>
          <w:p w14:paraId="1FFAED95"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5F57FACD"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DAD6065"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4838377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4D3D6AD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DFD4FE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FB55C2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B9DF2C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578951D"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0329A">
              <w:rPr>
                <w:rFonts w:ascii="Arial" w:hAnsi="Arial"/>
                <w:sz w:val="18"/>
              </w:rPr>
            </w:r>
            <w:r w:rsidR="00C0329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3CA4D1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9F0217F"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C41DC4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5AC7326"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2FC9F2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9EEE" w14:textId="77777777" w:rsidR="00B30AC0" w:rsidRDefault="00B30AC0" w:rsidP="007A6FC3">
      <w:r>
        <w:separator/>
      </w:r>
    </w:p>
  </w:endnote>
  <w:endnote w:type="continuationSeparator" w:id="0">
    <w:p w14:paraId="11896907" w14:textId="77777777" w:rsidR="00B30AC0" w:rsidRDefault="00B30AC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654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FF8A17"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6C2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82B77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20EEA0C" w14:textId="77777777" w:rsidTr="00CC7A80">
      <w:tc>
        <w:tcPr>
          <w:tcW w:w="1932" w:type="dxa"/>
          <w:shd w:val="clear" w:color="auto" w:fill="auto"/>
        </w:tcPr>
        <w:p w14:paraId="5CAC2A7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E4E2E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EE0A39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AEF8C4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2E545C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0B2AFCC" w14:textId="77777777" w:rsidR="0018307F" w:rsidRPr="00CC7A80" w:rsidRDefault="0018307F" w:rsidP="00CC7A80">
          <w:pPr>
            <w:pStyle w:val="Footer"/>
            <w:jc w:val="right"/>
            <w:rPr>
              <w:rFonts w:ascii="Arial" w:hAnsi="Arial" w:cs="Arial"/>
              <w:sz w:val="18"/>
              <w:szCs w:val="18"/>
            </w:rPr>
          </w:pPr>
        </w:p>
      </w:tc>
    </w:tr>
  </w:tbl>
  <w:p w14:paraId="11358609" w14:textId="77777777" w:rsidR="0018307F" w:rsidRDefault="0018307F" w:rsidP="0021563E">
    <w:pPr>
      <w:pStyle w:val="Footer"/>
      <w:jc w:val="right"/>
    </w:pPr>
  </w:p>
  <w:p w14:paraId="4D63B92C"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F86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6A77">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186B9E4" w14:textId="77777777" w:rsidTr="00CC7A80">
      <w:tc>
        <w:tcPr>
          <w:tcW w:w="1932" w:type="dxa"/>
          <w:shd w:val="clear" w:color="auto" w:fill="auto"/>
        </w:tcPr>
        <w:p w14:paraId="1BA0818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795212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F24E51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574EDE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1D8B01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0E8E42F" w14:textId="77777777" w:rsidR="0018307F" w:rsidRPr="00CC7A80" w:rsidRDefault="0018307F" w:rsidP="00CC7A80">
          <w:pPr>
            <w:pStyle w:val="Footer"/>
            <w:jc w:val="right"/>
            <w:rPr>
              <w:rFonts w:ascii="Arial" w:hAnsi="Arial" w:cs="Arial"/>
              <w:sz w:val="18"/>
              <w:szCs w:val="18"/>
            </w:rPr>
          </w:pPr>
        </w:p>
      </w:tc>
    </w:tr>
  </w:tbl>
  <w:p w14:paraId="789618FF"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A585" w14:textId="77777777" w:rsidR="00B30AC0" w:rsidRDefault="00B30AC0" w:rsidP="007A6FC3">
      <w:r>
        <w:separator/>
      </w:r>
    </w:p>
  </w:footnote>
  <w:footnote w:type="continuationSeparator" w:id="0">
    <w:p w14:paraId="3463E91A" w14:textId="77777777" w:rsidR="00B30AC0" w:rsidRDefault="00B30AC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AA7597B"/>
    <w:multiLevelType w:val="hybridMultilevel"/>
    <w:tmpl w:val="84FE9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04A667C"/>
    <w:multiLevelType w:val="hybridMultilevel"/>
    <w:tmpl w:val="D0841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705670140">
    <w:abstractNumId w:val="2"/>
  </w:num>
  <w:num w:numId="2" w16cid:durableId="1261376523">
    <w:abstractNumId w:val="5"/>
  </w:num>
  <w:num w:numId="3" w16cid:durableId="571934182">
    <w:abstractNumId w:val="3"/>
  </w:num>
  <w:num w:numId="4" w16cid:durableId="1011102386">
    <w:abstractNumId w:val="0"/>
  </w:num>
  <w:num w:numId="5" w16cid:durableId="1076053767">
    <w:abstractNumId w:val="1"/>
  </w:num>
  <w:num w:numId="6" w16cid:durableId="2109494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44E"/>
    <w:rsid w:val="000755E2"/>
    <w:rsid w:val="00082C72"/>
    <w:rsid w:val="00097390"/>
    <w:rsid w:val="000D4BC9"/>
    <w:rsid w:val="000E25AD"/>
    <w:rsid w:val="00101422"/>
    <w:rsid w:val="0018307F"/>
    <w:rsid w:val="0019492A"/>
    <w:rsid w:val="00203C48"/>
    <w:rsid w:val="0021563E"/>
    <w:rsid w:val="00295B89"/>
    <w:rsid w:val="00311731"/>
    <w:rsid w:val="0031599E"/>
    <w:rsid w:val="003379BD"/>
    <w:rsid w:val="003A15FD"/>
    <w:rsid w:val="003B2EF9"/>
    <w:rsid w:val="003B70D9"/>
    <w:rsid w:val="003D356D"/>
    <w:rsid w:val="003E29B2"/>
    <w:rsid w:val="00436A77"/>
    <w:rsid w:val="004553BF"/>
    <w:rsid w:val="00464819"/>
    <w:rsid w:val="0047002C"/>
    <w:rsid w:val="004B0216"/>
    <w:rsid w:val="004D379B"/>
    <w:rsid w:val="00503F28"/>
    <w:rsid w:val="005325D4"/>
    <w:rsid w:val="005508EB"/>
    <w:rsid w:val="0056414C"/>
    <w:rsid w:val="0059662D"/>
    <w:rsid w:val="005A70E2"/>
    <w:rsid w:val="005C03B7"/>
    <w:rsid w:val="005F618C"/>
    <w:rsid w:val="00606B81"/>
    <w:rsid w:val="00621771"/>
    <w:rsid w:val="0064565E"/>
    <w:rsid w:val="00653309"/>
    <w:rsid w:val="00683097"/>
    <w:rsid w:val="006B7A42"/>
    <w:rsid w:val="006C2C19"/>
    <w:rsid w:val="00775C94"/>
    <w:rsid w:val="007A6FC3"/>
    <w:rsid w:val="007B70D7"/>
    <w:rsid w:val="007D16C3"/>
    <w:rsid w:val="007F44C1"/>
    <w:rsid w:val="00813B83"/>
    <w:rsid w:val="00854D93"/>
    <w:rsid w:val="008D1C36"/>
    <w:rsid w:val="00916D82"/>
    <w:rsid w:val="00927055"/>
    <w:rsid w:val="00933987"/>
    <w:rsid w:val="00934FD5"/>
    <w:rsid w:val="00967034"/>
    <w:rsid w:val="009B59D3"/>
    <w:rsid w:val="00A22DDB"/>
    <w:rsid w:val="00A60207"/>
    <w:rsid w:val="00AA7ED4"/>
    <w:rsid w:val="00AB1650"/>
    <w:rsid w:val="00AB61E7"/>
    <w:rsid w:val="00AD441D"/>
    <w:rsid w:val="00B00F6B"/>
    <w:rsid w:val="00B11283"/>
    <w:rsid w:val="00B1786E"/>
    <w:rsid w:val="00B24943"/>
    <w:rsid w:val="00B30AC0"/>
    <w:rsid w:val="00B37970"/>
    <w:rsid w:val="00B47C64"/>
    <w:rsid w:val="00B52CF1"/>
    <w:rsid w:val="00B64324"/>
    <w:rsid w:val="00B82162"/>
    <w:rsid w:val="00B83999"/>
    <w:rsid w:val="00C30F57"/>
    <w:rsid w:val="00C4423F"/>
    <w:rsid w:val="00C6177D"/>
    <w:rsid w:val="00CA71B6"/>
    <w:rsid w:val="00CA7C90"/>
    <w:rsid w:val="00CC0D4D"/>
    <w:rsid w:val="00CC7A80"/>
    <w:rsid w:val="00CF16BF"/>
    <w:rsid w:val="00D074C1"/>
    <w:rsid w:val="00D40B3B"/>
    <w:rsid w:val="00D40FF6"/>
    <w:rsid w:val="00D53122"/>
    <w:rsid w:val="00D77F6A"/>
    <w:rsid w:val="00DF0FF9"/>
    <w:rsid w:val="00E02750"/>
    <w:rsid w:val="00E7205C"/>
    <w:rsid w:val="00E77F83"/>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AB375B"/>
  <w15:docId w15:val="{6942F995-CEB2-4D21-8E8C-01CCB468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Informed Consent for Medication, guanfacine</vt:lpstr>
    </vt:vector>
  </TitlesOfParts>
  <Manager>Client Rights</Manager>
  <Company>All DHS</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guanfacine</dc:title>
  <dc:creator>WI DHS</dc:creator>
  <cp:keywords>f24277, dde4277, dctf4277, informed consent, medication</cp:keywords>
  <cp:lastModifiedBy>Smith, Hilary J - DHS</cp:lastModifiedBy>
  <cp:revision>2</cp:revision>
  <cp:lastPrinted>2008-02-05T17:04:00Z</cp:lastPrinted>
  <dcterms:created xsi:type="dcterms:W3CDTF">2024-05-06T13:43:00Z</dcterms:created>
  <dcterms:modified xsi:type="dcterms:W3CDTF">2024-05-06T13:43:00Z</dcterms:modified>
</cp:coreProperties>
</file>