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3997C43" w14:textId="77777777">
        <w:tc>
          <w:tcPr>
            <w:tcW w:w="5868" w:type="dxa"/>
            <w:tcBorders>
              <w:top w:val="nil"/>
              <w:left w:val="nil"/>
              <w:bottom w:val="nil"/>
              <w:right w:val="nil"/>
            </w:tcBorders>
          </w:tcPr>
          <w:p w14:paraId="46A6505C" w14:textId="77777777" w:rsidR="003379BD" w:rsidRPr="004553BF" w:rsidRDefault="003379BD">
            <w:pPr>
              <w:pStyle w:val="Heading1"/>
            </w:pPr>
            <w:r w:rsidRPr="004553BF">
              <w:t>DEPARTMENT OF HEALTH SERVICES</w:t>
            </w:r>
          </w:p>
          <w:p w14:paraId="7565A240"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70E605E" w14:textId="38340325"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3E3633">
              <w:rPr>
                <w:rFonts w:ascii="Arial" w:hAnsi="Arial"/>
                <w:sz w:val="18"/>
              </w:rPr>
              <w:t>5</w:t>
            </w:r>
            <w:r w:rsidR="00017A46">
              <w:rPr>
                <w:rFonts w:ascii="Arial" w:hAnsi="Arial"/>
                <w:sz w:val="18"/>
              </w:rPr>
              <w:t>/20</w:t>
            </w:r>
            <w:r w:rsidR="003E3633">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5D93DE5F"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C6D5C1" w14:textId="77777777" w:rsidR="003379BD" w:rsidRPr="004553BF" w:rsidRDefault="003379BD">
            <w:pPr>
              <w:jc w:val="right"/>
              <w:rPr>
                <w:rFonts w:ascii="Arial" w:hAnsi="Arial"/>
                <w:sz w:val="18"/>
              </w:rPr>
            </w:pPr>
            <w:r w:rsidRPr="004553BF">
              <w:rPr>
                <w:rFonts w:ascii="Arial" w:hAnsi="Arial"/>
                <w:sz w:val="18"/>
              </w:rPr>
              <w:t>42 CFR483.420(a)(2)</w:t>
            </w:r>
          </w:p>
          <w:p w14:paraId="43030E8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7511A7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D716E19"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241059B" w14:textId="77777777" w:rsidR="0056414C" w:rsidRPr="00C51A81" w:rsidRDefault="0056414C">
      <w:pPr>
        <w:pStyle w:val="Heading3"/>
        <w:rPr>
          <w:b w:val="0"/>
          <w:sz w:val="2"/>
          <w:szCs w:val="2"/>
        </w:rPr>
        <w:sectPr w:rsidR="0056414C" w:rsidRPr="00C51A81"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188"/>
        <w:gridCol w:w="522"/>
        <w:gridCol w:w="990"/>
        <w:gridCol w:w="396"/>
        <w:gridCol w:w="144"/>
        <w:gridCol w:w="1764"/>
        <w:gridCol w:w="126"/>
        <w:gridCol w:w="2250"/>
        <w:gridCol w:w="1440"/>
      </w:tblGrid>
      <w:tr w:rsidR="003379BD" w14:paraId="59FFAE33" w14:textId="77777777">
        <w:trPr>
          <w:cantSplit/>
        </w:trPr>
        <w:tc>
          <w:tcPr>
            <w:tcW w:w="11448" w:type="dxa"/>
            <w:gridSpan w:val="10"/>
            <w:tcBorders>
              <w:top w:val="nil"/>
              <w:left w:val="nil"/>
              <w:bottom w:val="single" w:sz="4" w:space="0" w:color="auto"/>
              <w:right w:val="nil"/>
            </w:tcBorders>
          </w:tcPr>
          <w:p w14:paraId="73810178" w14:textId="77777777" w:rsidR="003379BD" w:rsidRDefault="003379BD" w:rsidP="0031599E">
            <w:pPr>
              <w:pStyle w:val="Heading3"/>
            </w:pPr>
            <w:r>
              <w:t>INFORMED CONSENT FOR MEDICATION</w:t>
            </w:r>
          </w:p>
          <w:p w14:paraId="37224398" w14:textId="77777777" w:rsidR="00464819" w:rsidRDefault="00464819" w:rsidP="00464819">
            <w:pPr>
              <w:pStyle w:val="Heading4"/>
            </w:pPr>
            <w:r>
              <w:t xml:space="preserve">Dosage and / or Side Effect information last revised on </w:t>
            </w:r>
            <w:r w:rsidR="00C51A81">
              <w:rPr>
                <w:noProof/>
              </w:rPr>
              <w:t>05/13/2021</w:t>
            </w:r>
          </w:p>
          <w:p w14:paraId="3887E062" w14:textId="17BE1BEF"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E3633">
              <w:rPr>
                <w:rFonts w:ascii="Arial" w:hAnsi="Arial"/>
                <w:sz w:val="18"/>
              </w:rPr>
              <w:t>informed consent is not given</w:t>
            </w:r>
            <w:r>
              <w:rPr>
                <w:rFonts w:ascii="Arial" w:hAnsi="Arial"/>
                <w:sz w:val="18"/>
              </w:rPr>
              <w:t>, the medication cannot be administered without a court order unless in an emergency.</w:t>
            </w:r>
          </w:p>
          <w:p w14:paraId="4FB7D1FD"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15F87A44" w14:textId="77777777">
        <w:trPr>
          <w:trHeight w:hRule="exact" w:val="480"/>
        </w:trPr>
        <w:tc>
          <w:tcPr>
            <w:tcW w:w="5868" w:type="dxa"/>
            <w:gridSpan w:val="6"/>
            <w:tcBorders>
              <w:top w:val="single" w:sz="4" w:space="0" w:color="auto"/>
              <w:left w:val="nil"/>
              <w:bottom w:val="single" w:sz="4" w:space="0" w:color="auto"/>
            </w:tcBorders>
          </w:tcPr>
          <w:p w14:paraId="40CACBD2" w14:textId="77777777" w:rsidR="003379BD" w:rsidRDefault="003379BD">
            <w:pPr>
              <w:rPr>
                <w:rFonts w:ascii="Arial" w:hAnsi="Arial"/>
                <w:sz w:val="18"/>
              </w:rPr>
            </w:pPr>
            <w:r>
              <w:rPr>
                <w:rFonts w:ascii="Arial" w:hAnsi="Arial"/>
                <w:sz w:val="18"/>
              </w:rPr>
              <w:t>Name – Patient / Client (Last, First MI)</w:t>
            </w:r>
          </w:p>
          <w:p w14:paraId="3EFA0357"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185F0875" w14:textId="77777777" w:rsidR="003379BD" w:rsidRDefault="003379BD">
            <w:pPr>
              <w:rPr>
                <w:rFonts w:ascii="Arial" w:hAnsi="Arial"/>
                <w:sz w:val="18"/>
              </w:rPr>
            </w:pPr>
            <w:r>
              <w:rPr>
                <w:rFonts w:ascii="Arial" w:hAnsi="Arial"/>
                <w:sz w:val="18"/>
              </w:rPr>
              <w:t>ID Number</w:t>
            </w:r>
          </w:p>
          <w:p w14:paraId="10D440E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1"/>
          </w:p>
        </w:tc>
        <w:tc>
          <w:tcPr>
            <w:tcW w:w="2250" w:type="dxa"/>
            <w:tcBorders>
              <w:top w:val="single" w:sz="4" w:space="0" w:color="auto"/>
              <w:bottom w:val="nil"/>
              <w:right w:val="nil"/>
            </w:tcBorders>
          </w:tcPr>
          <w:p w14:paraId="39CAB3F0" w14:textId="77777777" w:rsidR="003379BD" w:rsidRDefault="003379BD">
            <w:pPr>
              <w:rPr>
                <w:rFonts w:ascii="Arial" w:hAnsi="Arial"/>
                <w:sz w:val="18"/>
              </w:rPr>
            </w:pPr>
            <w:r>
              <w:rPr>
                <w:rFonts w:ascii="Arial" w:hAnsi="Arial"/>
                <w:sz w:val="18"/>
              </w:rPr>
              <w:t>Living Unit</w:t>
            </w:r>
          </w:p>
          <w:p w14:paraId="3065C5BF"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2"/>
          </w:p>
        </w:tc>
        <w:tc>
          <w:tcPr>
            <w:tcW w:w="1440" w:type="dxa"/>
            <w:tcBorders>
              <w:top w:val="single" w:sz="4" w:space="0" w:color="auto"/>
              <w:bottom w:val="nil"/>
              <w:right w:val="nil"/>
            </w:tcBorders>
          </w:tcPr>
          <w:p w14:paraId="4B5FF5C5" w14:textId="77777777" w:rsidR="003379BD" w:rsidRDefault="006B7A42">
            <w:pPr>
              <w:rPr>
                <w:rFonts w:ascii="Arial" w:hAnsi="Arial"/>
                <w:sz w:val="18"/>
              </w:rPr>
            </w:pPr>
            <w:r>
              <w:rPr>
                <w:rFonts w:ascii="Arial" w:hAnsi="Arial"/>
                <w:sz w:val="18"/>
              </w:rPr>
              <w:t>Date of Birth</w:t>
            </w:r>
          </w:p>
          <w:p w14:paraId="3B64680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3"/>
          </w:p>
        </w:tc>
      </w:tr>
      <w:tr w:rsidR="003379BD" w14:paraId="57F063F2" w14:textId="77777777">
        <w:trPr>
          <w:cantSplit/>
        </w:trPr>
        <w:tc>
          <w:tcPr>
            <w:tcW w:w="4338" w:type="dxa"/>
            <w:gridSpan w:val="3"/>
            <w:tcBorders>
              <w:top w:val="single" w:sz="4" w:space="0" w:color="auto"/>
              <w:left w:val="nil"/>
              <w:bottom w:val="single" w:sz="4" w:space="0" w:color="auto"/>
            </w:tcBorders>
          </w:tcPr>
          <w:p w14:paraId="78773760" w14:textId="77777777" w:rsidR="003379BD" w:rsidRDefault="003379BD">
            <w:pPr>
              <w:rPr>
                <w:rFonts w:ascii="Arial" w:hAnsi="Arial"/>
                <w:sz w:val="18"/>
              </w:rPr>
            </w:pPr>
            <w:r>
              <w:rPr>
                <w:rFonts w:ascii="Arial" w:hAnsi="Arial"/>
                <w:sz w:val="18"/>
              </w:rPr>
              <w:t>Name – Individual Preparing This Form</w:t>
            </w:r>
          </w:p>
          <w:p w14:paraId="10945251"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526AB65" w14:textId="77777777" w:rsidR="003379BD" w:rsidRDefault="003379BD">
            <w:pPr>
              <w:rPr>
                <w:rFonts w:ascii="Arial" w:hAnsi="Arial"/>
                <w:sz w:val="18"/>
              </w:rPr>
            </w:pPr>
            <w:r>
              <w:rPr>
                <w:rFonts w:ascii="Arial" w:hAnsi="Arial"/>
                <w:sz w:val="18"/>
              </w:rPr>
              <w:t>Name – Staff Contact</w:t>
            </w:r>
          </w:p>
          <w:p w14:paraId="5789FD7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3CE55F0" w14:textId="77777777" w:rsidR="003379BD" w:rsidRDefault="003379BD">
            <w:pPr>
              <w:rPr>
                <w:rFonts w:ascii="Arial" w:hAnsi="Arial"/>
                <w:sz w:val="18"/>
              </w:rPr>
            </w:pPr>
            <w:r>
              <w:rPr>
                <w:rFonts w:ascii="Arial" w:hAnsi="Arial"/>
                <w:sz w:val="18"/>
              </w:rPr>
              <w:t>Name / Telephone Number – Institution</w:t>
            </w:r>
          </w:p>
          <w:p w14:paraId="7DC3B47F"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bookmarkEnd w:id="6"/>
          </w:p>
        </w:tc>
      </w:tr>
      <w:tr w:rsidR="003379BD" w14:paraId="26D97E5A" w14:textId="77777777" w:rsidTr="003704C3">
        <w:trPr>
          <w:cantSplit/>
        </w:trPr>
        <w:tc>
          <w:tcPr>
            <w:tcW w:w="2628" w:type="dxa"/>
            <w:tcBorders>
              <w:top w:val="single" w:sz="4" w:space="0" w:color="auto"/>
              <w:left w:val="nil"/>
              <w:bottom w:val="nil"/>
            </w:tcBorders>
            <w:vAlign w:val="center"/>
          </w:tcPr>
          <w:p w14:paraId="3C3725D6" w14:textId="77777777" w:rsidR="003379BD" w:rsidRDefault="003379BD" w:rsidP="00DF0FF9">
            <w:pPr>
              <w:pStyle w:val="Heading4"/>
              <w:spacing w:before="0"/>
            </w:pPr>
            <w:r>
              <w:t>MEDICATION CATEGORY</w:t>
            </w:r>
          </w:p>
        </w:tc>
        <w:tc>
          <w:tcPr>
            <w:tcW w:w="2700" w:type="dxa"/>
            <w:gridSpan w:val="3"/>
            <w:tcBorders>
              <w:top w:val="single" w:sz="4" w:space="0" w:color="auto"/>
              <w:bottom w:val="nil"/>
              <w:right w:val="nil"/>
            </w:tcBorders>
            <w:vAlign w:val="center"/>
          </w:tcPr>
          <w:p w14:paraId="2AB3644D" w14:textId="77777777" w:rsidR="003379BD" w:rsidRDefault="003379BD" w:rsidP="00DF0FF9">
            <w:pPr>
              <w:jc w:val="center"/>
              <w:rPr>
                <w:rFonts w:ascii="Arial" w:hAnsi="Arial"/>
                <w:b/>
                <w:sz w:val="18"/>
              </w:rPr>
            </w:pPr>
            <w:r>
              <w:rPr>
                <w:rFonts w:ascii="Arial" w:hAnsi="Arial"/>
                <w:b/>
                <w:sz w:val="18"/>
              </w:rPr>
              <w:t>MEDICATION</w:t>
            </w:r>
          </w:p>
        </w:tc>
        <w:tc>
          <w:tcPr>
            <w:tcW w:w="4680" w:type="dxa"/>
            <w:gridSpan w:val="5"/>
            <w:tcBorders>
              <w:top w:val="single" w:sz="4" w:space="0" w:color="auto"/>
              <w:bottom w:val="nil"/>
              <w:right w:val="nil"/>
            </w:tcBorders>
            <w:vAlign w:val="center"/>
          </w:tcPr>
          <w:p w14:paraId="3F1BA47B" w14:textId="77777777" w:rsidR="003379BD" w:rsidRDefault="003379BD" w:rsidP="00DF0FF9">
            <w:pPr>
              <w:pStyle w:val="Heading4"/>
              <w:spacing w:before="0"/>
            </w:pPr>
            <w:r>
              <w:t>RECOMMENDED</w:t>
            </w:r>
          </w:p>
          <w:p w14:paraId="2281D99A"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A85B765" w14:textId="77777777" w:rsidR="003379BD" w:rsidRDefault="003379BD" w:rsidP="00DF0FF9">
            <w:pPr>
              <w:pStyle w:val="Heading4"/>
              <w:spacing w:before="0"/>
              <w:rPr>
                <w:b w:val="0"/>
              </w:rPr>
            </w:pPr>
            <w:r>
              <w:t>ANTICIPATED</w:t>
            </w:r>
            <w:r w:rsidR="00DF0FF9">
              <w:t xml:space="preserve"> </w:t>
            </w:r>
            <w:r>
              <w:t>DOSAGE RANGE</w:t>
            </w:r>
          </w:p>
        </w:tc>
      </w:tr>
      <w:tr w:rsidR="003704C3" w14:paraId="0CFED25B" w14:textId="77777777" w:rsidTr="003704C3">
        <w:trPr>
          <w:cantSplit/>
        </w:trPr>
        <w:tc>
          <w:tcPr>
            <w:tcW w:w="2628" w:type="dxa"/>
            <w:tcBorders>
              <w:top w:val="single" w:sz="4" w:space="0" w:color="auto"/>
              <w:left w:val="nil"/>
              <w:bottom w:val="single" w:sz="4" w:space="0" w:color="auto"/>
            </w:tcBorders>
          </w:tcPr>
          <w:p w14:paraId="00D10250" w14:textId="77777777" w:rsidR="003704C3" w:rsidRDefault="003704C3" w:rsidP="005870CC">
            <w:pPr>
              <w:spacing w:before="60"/>
              <w:rPr>
                <w:sz w:val="22"/>
              </w:rPr>
            </w:pPr>
            <w:r w:rsidRPr="00F125E2">
              <w:rPr>
                <w:noProof/>
                <w:sz w:val="22"/>
              </w:rPr>
              <w:t>Anticonvulsant</w:t>
            </w:r>
            <w:r w:rsidRPr="00F125E2">
              <w:rPr>
                <w:noProof/>
                <w:sz w:val="22"/>
              </w:rPr>
              <w:br/>
              <w:t>(Phenyltriazine)</w:t>
            </w:r>
          </w:p>
        </w:tc>
        <w:tc>
          <w:tcPr>
            <w:tcW w:w="2700" w:type="dxa"/>
            <w:gridSpan w:val="3"/>
            <w:tcBorders>
              <w:top w:val="single" w:sz="4" w:space="0" w:color="auto"/>
              <w:bottom w:val="single" w:sz="4" w:space="0" w:color="auto"/>
              <w:right w:val="nil"/>
            </w:tcBorders>
          </w:tcPr>
          <w:p w14:paraId="6D5272B4" w14:textId="77777777" w:rsidR="003704C3" w:rsidRDefault="003704C3" w:rsidP="005870CC">
            <w:pPr>
              <w:tabs>
                <w:tab w:val="left" w:pos="702"/>
                <w:tab w:val="left" w:pos="882"/>
                <w:tab w:val="left" w:pos="1152"/>
                <w:tab w:val="left" w:pos="1602"/>
              </w:tabs>
              <w:rPr>
                <w:sz w:val="22"/>
              </w:rPr>
            </w:pPr>
            <w:r w:rsidRPr="00F125E2">
              <w:rPr>
                <w:noProof/>
                <w:sz w:val="22"/>
              </w:rPr>
              <w:t>Lamictal</w:t>
            </w:r>
            <w:r w:rsidR="00586073">
              <w:rPr>
                <w:noProof/>
                <w:sz w:val="22"/>
              </w:rPr>
              <w:t xml:space="preserve"> (lamotrigine immediate release)</w:t>
            </w:r>
            <w:r>
              <w:rPr>
                <w:noProof/>
                <w:sz w:val="22"/>
              </w:rPr>
              <w:t>, Lamictal XR</w:t>
            </w:r>
            <w:r w:rsidR="00586073">
              <w:rPr>
                <w:sz w:val="22"/>
              </w:rPr>
              <w:t xml:space="preserve"> </w:t>
            </w:r>
            <w:r>
              <w:rPr>
                <w:sz w:val="22"/>
              </w:rPr>
              <w:t>(</w:t>
            </w:r>
            <w:r w:rsidRPr="00F125E2">
              <w:rPr>
                <w:noProof/>
                <w:sz w:val="22"/>
              </w:rPr>
              <w:t>lamotrigine</w:t>
            </w:r>
            <w:r w:rsidR="00586073">
              <w:rPr>
                <w:noProof/>
                <w:sz w:val="22"/>
              </w:rPr>
              <w:t xml:space="preserve"> extended release</w:t>
            </w:r>
            <w:r>
              <w:rPr>
                <w:sz w:val="22"/>
              </w:rPr>
              <w:t>)</w:t>
            </w:r>
          </w:p>
        </w:tc>
        <w:tc>
          <w:tcPr>
            <w:tcW w:w="4680" w:type="dxa"/>
            <w:gridSpan w:val="5"/>
            <w:tcBorders>
              <w:top w:val="single" w:sz="4" w:space="0" w:color="auto"/>
              <w:bottom w:val="single" w:sz="4" w:space="0" w:color="auto"/>
              <w:right w:val="nil"/>
            </w:tcBorders>
            <w:vAlign w:val="center"/>
          </w:tcPr>
          <w:p w14:paraId="0F0753B6" w14:textId="77777777" w:rsidR="003704C3" w:rsidRDefault="003704C3" w:rsidP="003704C3">
            <w:pPr>
              <w:tabs>
                <w:tab w:val="left" w:pos="702"/>
                <w:tab w:val="left" w:pos="882"/>
                <w:tab w:val="left" w:pos="1152"/>
                <w:tab w:val="left" w:pos="1602"/>
              </w:tabs>
              <w:rPr>
                <w:sz w:val="22"/>
              </w:rPr>
            </w:pPr>
            <w:r w:rsidRPr="00F125E2">
              <w:rPr>
                <w:noProof/>
                <w:sz w:val="22"/>
              </w:rPr>
              <w:t xml:space="preserve">Adults: </w:t>
            </w:r>
            <w:r>
              <w:rPr>
                <w:noProof/>
                <w:sz w:val="22"/>
              </w:rPr>
              <w:t xml:space="preserve">immediate release </w:t>
            </w:r>
            <w:r w:rsidR="00586073">
              <w:rPr>
                <w:noProof/>
                <w:sz w:val="22"/>
              </w:rPr>
              <w:t>25 mg-</w:t>
            </w:r>
            <w:r>
              <w:rPr>
                <w:noProof/>
                <w:sz w:val="22"/>
              </w:rPr>
              <w:t>5</w:t>
            </w:r>
            <w:r w:rsidRPr="00F125E2">
              <w:rPr>
                <w:noProof/>
                <w:sz w:val="22"/>
              </w:rPr>
              <w:t>00</w:t>
            </w:r>
            <w:r w:rsidR="00586073">
              <w:rPr>
                <w:noProof/>
                <w:sz w:val="22"/>
              </w:rPr>
              <w:t xml:space="preserve"> </w:t>
            </w:r>
            <w:r w:rsidRPr="00F125E2">
              <w:rPr>
                <w:noProof/>
                <w:sz w:val="22"/>
              </w:rPr>
              <w:t>mg</w:t>
            </w:r>
            <w:r w:rsidR="00586073">
              <w:rPr>
                <w:noProof/>
                <w:sz w:val="22"/>
              </w:rPr>
              <w:t xml:space="preserve"> ; extended release 25 mg</w:t>
            </w:r>
            <w:r>
              <w:rPr>
                <w:noProof/>
                <w:sz w:val="22"/>
              </w:rPr>
              <w:t>-600</w:t>
            </w:r>
            <w:r w:rsidR="00586073">
              <w:rPr>
                <w:noProof/>
                <w:sz w:val="22"/>
              </w:rPr>
              <w:t xml:space="preserve"> </w:t>
            </w:r>
            <w:r>
              <w:rPr>
                <w:noProof/>
                <w:sz w:val="22"/>
              </w:rPr>
              <w:t xml:space="preserve">mg </w:t>
            </w:r>
            <w:r w:rsidRPr="00F125E2">
              <w:rPr>
                <w:noProof/>
                <w:sz w:val="22"/>
              </w:rPr>
              <w:br/>
              <w:t>Children: The dose of this medication is age/weight determined</w:t>
            </w:r>
          </w:p>
        </w:tc>
        <w:tc>
          <w:tcPr>
            <w:tcW w:w="1440" w:type="dxa"/>
            <w:tcBorders>
              <w:top w:val="single" w:sz="4" w:space="0" w:color="auto"/>
              <w:bottom w:val="single" w:sz="4" w:space="0" w:color="auto"/>
              <w:right w:val="nil"/>
            </w:tcBorders>
            <w:vAlign w:val="center"/>
          </w:tcPr>
          <w:p w14:paraId="272336EC" w14:textId="77777777" w:rsidR="003704C3" w:rsidRDefault="003704C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sz w:val="22"/>
              </w:rPr>
              <w:fldChar w:fldCharType="end"/>
            </w:r>
          </w:p>
        </w:tc>
      </w:tr>
      <w:tr w:rsidR="003379BD" w14:paraId="6B2AA3D7" w14:textId="77777777">
        <w:trPr>
          <w:cantSplit/>
          <w:trHeight w:hRule="exact" w:val="1200"/>
        </w:trPr>
        <w:tc>
          <w:tcPr>
            <w:tcW w:w="11448" w:type="dxa"/>
            <w:gridSpan w:val="10"/>
            <w:tcBorders>
              <w:top w:val="nil"/>
              <w:left w:val="nil"/>
              <w:bottom w:val="single" w:sz="4" w:space="0" w:color="auto"/>
              <w:right w:val="nil"/>
            </w:tcBorders>
          </w:tcPr>
          <w:p w14:paraId="26D89FA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5F70FAF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C59C6C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581F82">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581F82">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581F82">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sidR="00B1786E">
              <w:rPr>
                <w:sz w:val="22"/>
              </w:rPr>
              <w:fldChar w:fldCharType="end"/>
            </w:r>
            <w:bookmarkEnd w:id="7"/>
          </w:p>
        </w:tc>
      </w:tr>
      <w:tr w:rsidR="003379BD" w14:paraId="6B200D08" w14:textId="77777777">
        <w:trPr>
          <w:cantSplit/>
          <w:trHeight w:hRule="exact" w:val="600"/>
        </w:trPr>
        <w:tc>
          <w:tcPr>
            <w:tcW w:w="11448" w:type="dxa"/>
            <w:gridSpan w:val="10"/>
            <w:tcBorders>
              <w:top w:val="single" w:sz="4" w:space="0" w:color="auto"/>
              <w:left w:val="nil"/>
              <w:bottom w:val="nil"/>
              <w:right w:val="nil"/>
            </w:tcBorders>
          </w:tcPr>
          <w:p w14:paraId="5DDC651E" w14:textId="3D9F9BCA"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3E3633">
              <w:rPr>
                <w:b w:val="0"/>
              </w:rPr>
              <w:t>impression (</w:t>
            </w:r>
            <w:r w:rsidRPr="00097390">
              <w:rPr>
                <w:b w:val="0"/>
              </w:rPr>
              <w:t>“working hypothesis</w:t>
            </w:r>
            <w:r w:rsidR="0031599E" w:rsidRPr="00097390">
              <w:rPr>
                <w:b w:val="0"/>
              </w:rPr>
              <w:t>.”</w:t>
            </w:r>
            <w:r w:rsidR="003E3633">
              <w:rPr>
                <w:b w:val="0"/>
              </w:rPr>
              <w:t>)</w:t>
            </w:r>
          </w:p>
        </w:tc>
      </w:tr>
      <w:tr w:rsidR="003379BD" w14:paraId="0249EE9D" w14:textId="77777777" w:rsidTr="003E3633">
        <w:trPr>
          <w:cantSplit/>
          <w:trHeight w:val="936"/>
        </w:trPr>
        <w:tc>
          <w:tcPr>
            <w:tcW w:w="11448" w:type="dxa"/>
            <w:gridSpan w:val="10"/>
            <w:tcBorders>
              <w:top w:val="nil"/>
              <w:left w:val="nil"/>
              <w:bottom w:val="single" w:sz="4" w:space="0" w:color="auto"/>
              <w:right w:val="nil"/>
            </w:tcBorders>
          </w:tcPr>
          <w:p w14:paraId="47A0E3A4"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Pr>
                <w:noProof/>
                <w:sz w:val="22"/>
              </w:rPr>
              <w:fldChar w:fldCharType="end"/>
            </w:r>
            <w:bookmarkEnd w:id="8"/>
          </w:p>
        </w:tc>
      </w:tr>
      <w:tr w:rsidR="003379BD" w14:paraId="47B92505" w14:textId="77777777">
        <w:trPr>
          <w:cantSplit/>
          <w:trHeight w:val="240"/>
        </w:trPr>
        <w:tc>
          <w:tcPr>
            <w:tcW w:w="11448" w:type="dxa"/>
            <w:gridSpan w:val="10"/>
            <w:tcBorders>
              <w:top w:val="single" w:sz="4" w:space="0" w:color="auto"/>
              <w:left w:val="nil"/>
              <w:bottom w:val="nil"/>
              <w:right w:val="nil"/>
            </w:tcBorders>
          </w:tcPr>
          <w:p w14:paraId="69539CF4"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00187C5" w14:textId="77777777">
        <w:trPr>
          <w:cantSplit/>
          <w:trHeight w:val="240"/>
        </w:trPr>
        <w:tc>
          <w:tcPr>
            <w:tcW w:w="5724" w:type="dxa"/>
            <w:gridSpan w:val="5"/>
            <w:tcBorders>
              <w:top w:val="nil"/>
              <w:left w:val="nil"/>
              <w:bottom w:val="nil"/>
              <w:right w:val="nil"/>
            </w:tcBorders>
            <w:vAlign w:val="center"/>
          </w:tcPr>
          <w:p w14:paraId="24CDFC4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0D53B98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596D047F" w14:textId="77777777">
        <w:trPr>
          <w:cantSplit/>
          <w:trHeight w:val="240"/>
        </w:trPr>
        <w:tc>
          <w:tcPr>
            <w:tcW w:w="5724" w:type="dxa"/>
            <w:gridSpan w:val="5"/>
            <w:tcBorders>
              <w:top w:val="nil"/>
              <w:left w:val="nil"/>
              <w:bottom w:val="nil"/>
              <w:right w:val="nil"/>
            </w:tcBorders>
            <w:vAlign w:val="center"/>
          </w:tcPr>
          <w:p w14:paraId="35C289F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0333130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6CB5732" w14:textId="77777777">
        <w:trPr>
          <w:cantSplit/>
          <w:trHeight w:val="240"/>
        </w:trPr>
        <w:tc>
          <w:tcPr>
            <w:tcW w:w="5724" w:type="dxa"/>
            <w:gridSpan w:val="5"/>
            <w:tcBorders>
              <w:top w:val="nil"/>
              <w:left w:val="nil"/>
              <w:bottom w:val="nil"/>
              <w:right w:val="nil"/>
            </w:tcBorders>
            <w:vAlign w:val="center"/>
          </w:tcPr>
          <w:p w14:paraId="4652750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645F4AF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3048ED1" w14:textId="77777777" w:rsidTr="003E3633">
        <w:trPr>
          <w:cantSplit/>
          <w:trHeight w:val="936"/>
        </w:trPr>
        <w:tc>
          <w:tcPr>
            <w:tcW w:w="11448" w:type="dxa"/>
            <w:gridSpan w:val="10"/>
            <w:tcBorders>
              <w:top w:val="nil"/>
              <w:left w:val="nil"/>
              <w:bottom w:val="nil"/>
              <w:right w:val="nil"/>
            </w:tcBorders>
          </w:tcPr>
          <w:p w14:paraId="31DCE9DD"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sidR="00B1786E">
              <w:rPr>
                <w:sz w:val="22"/>
              </w:rPr>
              <w:fldChar w:fldCharType="end"/>
            </w:r>
            <w:bookmarkEnd w:id="16"/>
          </w:p>
        </w:tc>
      </w:tr>
      <w:tr w:rsidR="003379BD" w14:paraId="30CB89E3" w14:textId="77777777">
        <w:trPr>
          <w:cantSplit/>
          <w:trHeight w:hRule="exact" w:val="240"/>
        </w:trPr>
        <w:tc>
          <w:tcPr>
            <w:tcW w:w="11448" w:type="dxa"/>
            <w:gridSpan w:val="10"/>
            <w:tcBorders>
              <w:top w:val="nil"/>
              <w:left w:val="nil"/>
              <w:bottom w:val="nil"/>
              <w:right w:val="nil"/>
            </w:tcBorders>
          </w:tcPr>
          <w:p w14:paraId="60E79EFF"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899311E" w14:textId="77777777" w:rsidTr="00934FD5">
        <w:trPr>
          <w:cantSplit/>
          <w:trHeight w:val="288"/>
        </w:trPr>
        <w:tc>
          <w:tcPr>
            <w:tcW w:w="3816" w:type="dxa"/>
            <w:gridSpan w:val="2"/>
            <w:tcBorders>
              <w:top w:val="nil"/>
              <w:left w:val="nil"/>
              <w:bottom w:val="nil"/>
              <w:right w:val="nil"/>
            </w:tcBorders>
            <w:vAlign w:val="center"/>
          </w:tcPr>
          <w:p w14:paraId="0B758D8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581F82">
              <w:rPr>
                <w:b w:val="0"/>
              </w:rPr>
            </w:r>
            <w:r w:rsidR="00581F82">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7C23EA4"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581F82">
              <w:rPr>
                <w:b w:val="0"/>
              </w:rPr>
            </w:r>
            <w:r w:rsidR="00581F82">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1E9FCEF"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581F82">
              <w:rPr>
                <w:b w:val="0"/>
              </w:rPr>
            </w:r>
            <w:r w:rsidR="00581F82">
              <w:rPr>
                <w:b w:val="0"/>
              </w:rPr>
              <w:fldChar w:fldCharType="separate"/>
            </w:r>
            <w:r>
              <w:rPr>
                <w:b w:val="0"/>
              </w:rPr>
              <w:fldChar w:fldCharType="end"/>
            </w:r>
            <w:bookmarkEnd w:id="19"/>
            <w:r>
              <w:rPr>
                <w:b w:val="0"/>
              </w:rPr>
              <w:t xml:space="preserve"> Social Functioning</w:t>
            </w:r>
          </w:p>
        </w:tc>
      </w:tr>
      <w:tr w:rsidR="003379BD" w14:paraId="6A2A142E" w14:textId="77777777">
        <w:trPr>
          <w:cantSplit/>
          <w:trHeight w:val="240"/>
        </w:trPr>
        <w:tc>
          <w:tcPr>
            <w:tcW w:w="3816" w:type="dxa"/>
            <w:gridSpan w:val="2"/>
            <w:tcBorders>
              <w:top w:val="nil"/>
              <w:left w:val="nil"/>
              <w:bottom w:val="nil"/>
              <w:right w:val="nil"/>
            </w:tcBorders>
          </w:tcPr>
          <w:p w14:paraId="27FE330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5DF75E71"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5EEEDEA" w14:textId="77777777" w:rsidR="003379BD" w:rsidRDefault="003379BD">
            <w:pPr>
              <w:pStyle w:val="Heading4"/>
              <w:tabs>
                <w:tab w:val="left" w:pos="540"/>
              </w:tabs>
              <w:jc w:val="left"/>
              <w:rPr>
                <w:b w:val="0"/>
              </w:rPr>
            </w:pPr>
          </w:p>
        </w:tc>
      </w:tr>
      <w:tr w:rsidR="003379BD" w14:paraId="511E8CEE" w14:textId="77777777">
        <w:trPr>
          <w:cantSplit/>
          <w:trHeight w:val="192"/>
        </w:trPr>
        <w:tc>
          <w:tcPr>
            <w:tcW w:w="5724" w:type="dxa"/>
            <w:gridSpan w:val="5"/>
            <w:tcBorders>
              <w:top w:val="nil"/>
              <w:left w:val="nil"/>
              <w:bottom w:val="nil"/>
              <w:right w:val="nil"/>
            </w:tcBorders>
          </w:tcPr>
          <w:p w14:paraId="6B551162"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3988D34A" w14:textId="77777777" w:rsidR="003379BD" w:rsidRDefault="003379BD">
            <w:pPr>
              <w:pStyle w:val="Heading4"/>
              <w:tabs>
                <w:tab w:val="left" w:pos="540"/>
              </w:tabs>
              <w:jc w:val="left"/>
              <w:rPr>
                <w:b w:val="0"/>
              </w:rPr>
            </w:pPr>
          </w:p>
        </w:tc>
      </w:tr>
      <w:bookmarkStart w:id="20" w:name="_Hlk151783589"/>
      <w:tr w:rsidR="003379BD" w14:paraId="30DC9D04" w14:textId="77777777">
        <w:trPr>
          <w:cantSplit/>
          <w:trHeight w:val="192"/>
        </w:trPr>
        <w:tc>
          <w:tcPr>
            <w:tcW w:w="5724" w:type="dxa"/>
            <w:gridSpan w:val="5"/>
            <w:tcBorders>
              <w:top w:val="nil"/>
              <w:left w:val="nil"/>
              <w:bottom w:val="nil"/>
              <w:right w:val="nil"/>
            </w:tcBorders>
            <w:vAlign w:val="center"/>
          </w:tcPr>
          <w:p w14:paraId="1C117881"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581F82">
              <w:rPr>
                <w:b w:val="0"/>
              </w:rPr>
            </w:r>
            <w:r w:rsidR="00581F82">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6548B1DF"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581F82">
              <w:rPr>
                <w:b w:val="0"/>
              </w:rPr>
            </w:r>
            <w:r w:rsidR="00581F82">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6871311" w14:textId="77777777">
        <w:trPr>
          <w:cantSplit/>
          <w:trHeight w:val="192"/>
        </w:trPr>
        <w:tc>
          <w:tcPr>
            <w:tcW w:w="5724" w:type="dxa"/>
            <w:gridSpan w:val="5"/>
            <w:tcBorders>
              <w:top w:val="nil"/>
              <w:left w:val="nil"/>
              <w:bottom w:val="nil"/>
              <w:right w:val="nil"/>
            </w:tcBorders>
            <w:vAlign w:val="center"/>
          </w:tcPr>
          <w:p w14:paraId="1A80769A"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581F82">
              <w:rPr>
                <w:b w:val="0"/>
              </w:rPr>
            </w:r>
            <w:r w:rsidR="00581F82">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4D52A4B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581F82">
              <w:rPr>
                <w:b w:val="0"/>
              </w:rPr>
            </w:r>
            <w:r w:rsidR="00581F82">
              <w:rPr>
                <w:b w:val="0"/>
              </w:rPr>
              <w:fldChar w:fldCharType="separate"/>
            </w:r>
            <w:r>
              <w:rPr>
                <w:b w:val="0"/>
              </w:rPr>
              <w:fldChar w:fldCharType="end"/>
            </w:r>
            <w:bookmarkEnd w:id="24"/>
            <w:r>
              <w:rPr>
                <w:b w:val="0"/>
              </w:rPr>
              <w:t xml:space="preserve"> Intervention of law enforcement authorities</w:t>
            </w:r>
          </w:p>
        </w:tc>
      </w:tr>
      <w:tr w:rsidR="003379BD" w14:paraId="49343D8C" w14:textId="77777777">
        <w:trPr>
          <w:cantSplit/>
          <w:trHeight w:val="192"/>
        </w:trPr>
        <w:tc>
          <w:tcPr>
            <w:tcW w:w="5724" w:type="dxa"/>
            <w:gridSpan w:val="5"/>
            <w:tcBorders>
              <w:top w:val="nil"/>
              <w:left w:val="nil"/>
              <w:bottom w:val="nil"/>
              <w:right w:val="nil"/>
            </w:tcBorders>
            <w:vAlign w:val="center"/>
          </w:tcPr>
          <w:p w14:paraId="36F371A8"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581F82">
              <w:rPr>
                <w:b w:val="0"/>
              </w:rPr>
            </w:r>
            <w:r w:rsidR="00581F82">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345C04E3"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581F82">
              <w:rPr>
                <w:b w:val="0"/>
              </w:rPr>
            </w:r>
            <w:r w:rsidR="00581F82">
              <w:rPr>
                <w:b w:val="0"/>
              </w:rPr>
              <w:fldChar w:fldCharType="separate"/>
            </w:r>
            <w:r>
              <w:rPr>
                <w:b w:val="0"/>
              </w:rPr>
              <w:fldChar w:fldCharType="end"/>
            </w:r>
            <w:bookmarkEnd w:id="26"/>
            <w:r>
              <w:rPr>
                <w:b w:val="0"/>
              </w:rPr>
              <w:t xml:space="preserve"> Risk of harm to self or others</w:t>
            </w:r>
          </w:p>
        </w:tc>
      </w:tr>
      <w:tr w:rsidR="003379BD" w14:paraId="1136FEF6" w14:textId="77777777">
        <w:trPr>
          <w:cantSplit/>
          <w:trHeight w:val="192"/>
        </w:trPr>
        <w:tc>
          <w:tcPr>
            <w:tcW w:w="5724" w:type="dxa"/>
            <w:gridSpan w:val="5"/>
            <w:tcBorders>
              <w:top w:val="nil"/>
              <w:left w:val="nil"/>
              <w:bottom w:val="nil"/>
              <w:right w:val="nil"/>
            </w:tcBorders>
            <w:vAlign w:val="center"/>
          </w:tcPr>
          <w:p w14:paraId="742A0FD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581F82">
              <w:rPr>
                <w:b w:val="0"/>
              </w:rPr>
            </w:r>
            <w:r w:rsidR="00581F82">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0CAE2E68" w14:textId="77777777" w:rsidR="003379BD" w:rsidRDefault="003379BD">
            <w:pPr>
              <w:pStyle w:val="Heading4"/>
              <w:tabs>
                <w:tab w:val="left" w:pos="540"/>
              </w:tabs>
              <w:spacing w:before="0"/>
              <w:jc w:val="left"/>
              <w:rPr>
                <w:b w:val="0"/>
              </w:rPr>
            </w:pPr>
          </w:p>
        </w:tc>
      </w:tr>
      <w:bookmarkEnd w:id="20"/>
      <w:tr w:rsidR="003379BD" w14:paraId="779B0A21" w14:textId="77777777" w:rsidTr="003E3633">
        <w:trPr>
          <w:cantSplit/>
          <w:trHeight w:val="936"/>
        </w:trPr>
        <w:tc>
          <w:tcPr>
            <w:tcW w:w="11448" w:type="dxa"/>
            <w:gridSpan w:val="10"/>
            <w:tcBorders>
              <w:top w:val="nil"/>
              <w:left w:val="nil"/>
              <w:bottom w:val="single" w:sz="4" w:space="0" w:color="auto"/>
              <w:right w:val="nil"/>
            </w:tcBorders>
          </w:tcPr>
          <w:p w14:paraId="05DFD92B"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DA3974">
              <w:rPr>
                <w:noProof/>
                <w:sz w:val="22"/>
              </w:rPr>
              <w:t> </w:t>
            </w:r>
            <w:r w:rsidR="00DA3974">
              <w:rPr>
                <w:noProof/>
                <w:sz w:val="22"/>
              </w:rPr>
              <w:t> </w:t>
            </w:r>
            <w:r w:rsidR="00DA3974">
              <w:rPr>
                <w:noProof/>
                <w:sz w:val="22"/>
              </w:rPr>
              <w:t> </w:t>
            </w:r>
            <w:r w:rsidR="00DA3974">
              <w:rPr>
                <w:noProof/>
                <w:sz w:val="22"/>
              </w:rPr>
              <w:t> </w:t>
            </w:r>
            <w:r w:rsidR="00DA3974">
              <w:rPr>
                <w:noProof/>
                <w:sz w:val="22"/>
              </w:rPr>
              <w:t> </w:t>
            </w:r>
            <w:r w:rsidR="00B1786E">
              <w:rPr>
                <w:noProof/>
                <w:sz w:val="22"/>
              </w:rPr>
              <w:fldChar w:fldCharType="end"/>
            </w:r>
            <w:bookmarkEnd w:id="28"/>
          </w:p>
        </w:tc>
      </w:tr>
      <w:tr w:rsidR="003379BD" w14:paraId="6DAAE41A" w14:textId="77777777">
        <w:trPr>
          <w:cantSplit/>
          <w:trHeight w:hRule="exact" w:val="440"/>
        </w:trPr>
        <w:tc>
          <w:tcPr>
            <w:tcW w:w="11448" w:type="dxa"/>
            <w:gridSpan w:val="10"/>
            <w:tcBorders>
              <w:top w:val="single" w:sz="4" w:space="0" w:color="auto"/>
              <w:left w:val="nil"/>
              <w:bottom w:val="single" w:sz="4" w:space="0" w:color="auto"/>
              <w:right w:val="nil"/>
            </w:tcBorders>
          </w:tcPr>
          <w:p w14:paraId="11E08715"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FFDB17B" w14:textId="77777777" w:rsidR="003379BD" w:rsidRDefault="00464819">
      <w:pPr>
        <w:jc w:val="right"/>
        <w:rPr>
          <w:rFonts w:ascii="Arial" w:hAnsi="Arial"/>
          <w:sz w:val="18"/>
        </w:rPr>
      </w:pPr>
      <w:r>
        <w:rPr>
          <w:rFonts w:ascii="Arial" w:hAnsi="Arial"/>
          <w:sz w:val="18"/>
        </w:rPr>
        <w:t>See Page 2</w:t>
      </w:r>
    </w:p>
    <w:p w14:paraId="528E9539"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50079668" w14:textId="77777777">
        <w:trPr>
          <w:tblHeader/>
        </w:trPr>
        <w:tc>
          <w:tcPr>
            <w:tcW w:w="4788" w:type="dxa"/>
            <w:tcBorders>
              <w:top w:val="nil"/>
              <w:left w:val="nil"/>
              <w:bottom w:val="nil"/>
              <w:right w:val="nil"/>
            </w:tcBorders>
          </w:tcPr>
          <w:p w14:paraId="42FF87DE"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00C3985" w14:textId="77777777" w:rsidR="003379BD" w:rsidRDefault="003379BD" w:rsidP="003704C3">
            <w:pPr>
              <w:tabs>
                <w:tab w:val="left" w:pos="702"/>
                <w:tab w:val="left" w:pos="882"/>
                <w:tab w:val="left" w:pos="1152"/>
                <w:tab w:val="left" w:pos="1602"/>
              </w:tabs>
              <w:rPr>
                <w:rFonts w:ascii="Arial" w:hAnsi="Arial"/>
                <w:sz w:val="18"/>
              </w:rPr>
            </w:pPr>
            <w:r>
              <w:rPr>
                <w:rFonts w:ascii="Arial" w:hAnsi="Arial"/>
                <w:sz w:val="18"/>
              </w:rPr>
              <w:t xml:space="preserve">Medication: </w:t>
            </w:r>
            <w:r w:rsidR="003704C3" w:rsidRPr="00F125E2">
              <w:rPr>
                <w:noProof/>
                <w:sz w:val="22"/>
              </w:rPr>
              <w:t>Lamictal</w:t>
            </w:r>
            <w:r w:rsidR="003704C3">
              <w:rPr>
                <w:noProof/>
                <w:sz w:val="22"/>
              </w:rPr>
              <w:t xml:space="preserve">, Lamictal XR </w:t>
            </w:r>
            <w:r w:rsidR="003704C3">
              <w:rPr>
                <w:sz w:val="22"/>
              </w:rPr>
              <w:t>(</w:t>
            </w:r>
            <w:r w:rsidR="003704C3" w:rsidRPr="00F125E2">
              <w:rPr>
                <w:noProof/>
                <w:sz w:val="22"/>
              </w:rPr>
              <w:t>lamotrigine</w:t>
            </w:r>
            <w:r w:rsidR="003704C3">
              <w:rPr>
                <w:sz w:val="22"/>
              </w:rPr>
              <w:t>)</w:t>
            </w:r>
          </w:p>
        </w:tc>
      </w:tr>
      <w:tr w:rsidR="003379BD" w14:paraId="06A5BE70" w14:textId="77777777">
        <w:trPr>
          <w:cantSplit/>
        </w:trPr>
        <w:tc>
          <w:tcPr>
            <w:tcW w:w="11448" w:type="dxa"/>
            <w:gridSpan w:val="2"/>
            <w:tcBorders>
              <w:top w:val="single" w:sz="4" w:space="0" w:color="auto"/>
              <w:left w:val="nil"/>
              <w:bottom w:val="single" w:sz="4" w:space="0" w:color="auto"/>
              <w:right w:val="nil"/>
            </w:tcBorders>
          </w:tcPr>
          <w:p w14:paraId="4E21ED9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C024681" w14:textId="77777777" w:rsidTr="00A448DD">
        <w:trPr>
          <w:trHeight w:val="864"/>
        </w:trPr>
        <w:tc>
          <w:tcPr>
            <w:tcW w:w="11448" w:type="dxa"/>
            <w:gridSpan w:val="2"/>
            <w:tcBorders>
              <w:top w:val="single" w:sz="4" w:space="0" w:color="auto"/>
              <w:left w:val="nil"/>
              <w:bottom w:val="nil"/>
              <w:right w:val="nil"/>
            </w:tcBorders>
          </w:tcPr>
          <w:p w14:paraId="1F8781B7"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8817B5" w14:textId="77777777" w:rsidR="00847C05" w:rsidRPr="003E1B1B" w:rsidRDefault="003379BD" w:rsidP="002E30E0">
            <w:pPr>
              <w:pStyle w:val="Heading6"/>
              <w:spacing w:before="120"/>
              <w:rPr>
                <w:sz w:val="18"/>
                <w:szCs w:val="18"/>
              </w:rPr>
            </w:pPr>
            <w:r w:rsidRPr="0056414C">
              <w:rPr>
                <w:sz w:val="18"/>
                <w:szCs w:val="18"/>
              </w:rPr>
              <w:t>Most Common Side Effects</w:t>
            </w:r>
            <w:r w:rsidR="003E1B1B">
              <w:rPr>
                <w:sz w:val="18"/>
                <w:szCs w:val="18"/>
              </w:rPr>
              <w:t xml:space="preserve">: </w:t>
            </w:r>
            <w:r w:rsidR="002E30E0">
              <w:rPr>
                <w:b w:val="0"/>
                <w:noProof/>
                <w:sz w:val="18"/>
              </w:rPr>
              <w:t>nausea; b</w:t>
            </w:r>
            <w:r w:rsidR="003704C3" w:rsidRPr="003E1B1B">
              <w:rPr>
                <w:b w:val="0"/>
                <w:noProof/>
                <w:sz w:val="18"/>
              </w:rPr>
              <w:t>lurred or double vision or other changes in vision; clumsiness or unsteadiness; poor coordination; dizziness; tiredness: trou</w:t>
            </w:r>
            <w:r w:rsidR="002E30E0">
              <w:rPr>
                <w:b w:val="0"/>
                <w:noProof/>
                <w:sz w:val="18"/>
              </w:rPr>
              <w:t>ble sleeping; headache; constipation</w:t>
            </w:r>
            <w:r w:rsidR="003704C3" w:rsidRPr="003E1B1B">
              <w:rPr>
                <w:b w:val="0"/>
                <w:noProof/>
                <w:sz w:val="18"/>
              </w:rPr>
              <w:t>; vomitting; indigestion</w:t>
            </w:r>
            <w:r w:rsidR="002E30E0">
              <w:rPr>
                <w:b w:val="0"/>
                <w:noProof/>
                <w:sz w:val="18"/>
              </w:rPr>
              <w:t>; minor rash</w:t>
            </w:r>
            <w:r w:rsidR="003704C3" w:rsidRPr="003E1B1B">
              <w:rPr>
                <w:b w:val="0"/>
                <w:noProof/>
                <w:sz w:val="18"/>
              </w:rPr>
              <w:t>.</w:t>
            </w:r>
            <w:r w:rsidR="003704C3" w:rsidRPr="00F125E2">
              <w:rPr>
                <w:noProof/>
                <w:sz w:val="18"/>
              </w:rPr>
              <w:br/>
            </w:r>
          </w:p>
        </w:tc>
      </w:tr>
      <w:tr w:rsidR="003379BD" w14:paraId="01927C45" w14:textId="77777777" w:rsidTr="00A448DD">
        <w:trPr>
          <w:trHeight w:val="576"/>
        </w:trPr>
        <w:tc>
          <w:tcPr>
            <w:tcW w:w="11448" w:type="dxa"/>
            <w:gridSpan w:val="2"/>
            <w:tcBorders>
              <w:top w:val="nil"/>
              <w:left w:val="nil"/>
              <w:bottom w:val="nil"/>
              <w:right w:val="nil"/>
            </w:tcBorders>
          </w:tcPr>
          <w:p w14:paraId="7E57B533" w14:textId="77777777" w:rsidR="003704C3" w:rsidRDefault="003379BD" w:rsidP="003E1B1B">
            <w:pPr>
              <w:rPr>
                <w:rFonts w:ascii="Arial" w:hAnsi="Arial"/>
                <w:noProof/>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3E1B1B">
              <w:rPr>
                <w:rFonts w:ascii="Arial" w:hAnsi="Arial"/>
                <w:b/>
                <w:snapToGrid w:val="0"/>
                <w:color w:val="000000"/>
                <w:sz w:val="18"/>
              </w:rPr>
              <w:t xml:space="preserve">: </w:t>
            </w:r>
            <w:r w:rsidR="002E30E0">
              <w:rPr>
                <w:rFonts w:ascii="Arial" w:hAnsi="Arial"/>
                <w:noProof/>
                <w:sz w:val="18"/>
              </w:rPr>
              <w:t>abdominal pain</w:t>
            </w:r>
            <w:r w:rsidR="003704C3" w:rsidRPr="00F125E2">
              <w:rPr>
                <w:rFonts w:ascii="Arial" w:hAnsi="Arial"/>
                <w:noProof/>
                <w:sz w:val="18"/>
              </w:rPr>
              <w:t>; dryness of mouth; indigestion; loss of strength; menstrual pain; runny nose; slurred speech; trembling or shaking</w:t>
            </w:r>
            <w:r w:rsidR="003704C3">
              <w:rPr>
                <w:rFonts w:ascii="Arial" w:hAnsi="Arial"/>
                <w:noProof/>
                <w:sz w:val="18"/>
              </w:rPr>
              <w:t xml:space="preserve"> tiredness; vertigo;</w:t>
            </w:r>
            <w:r w:rsidR="003E1B1B">
              <w:rPr>
                <w:rFonts w:ascii="Arial" w:hAnsi="Arial"/>
                <w:noProof/>
                <w:sz w:val="18"/>
              </w:rPr>
              <w:t xml:space="preserve"> unusual weight</w:t>
            </w:r>
            <w:r w:rsidR="002E30E0">
              <w:rPr>
                <w:rFonts w:ascii="Arial" w:hAnsi="Arial"/>
                <w:noProof/>
                <w:sz w:val="18"/>
              </w:rPr>
              <w:t xml:space="preserve"> gain or</w:t>
            </w:r>
            <w:r w:rsidR="003E1B1B">
              <w:rPr>
                <w:rFonts w:ascii="Arial" w:hAnsi="Arial"/>
                <w:noProof/>
                <w:sz w:val="18"/>
              </w:rPr>
              <w:t xml:space="preserve"> loss; anxiety; confusion; depression; irritability; </w:t>
            </w:r>
            <w:r w:rsidR="003704C3" w:rsidRPr="00F125E2">
              <w:rPr>
                <w:rFonts w:ascii="Arial" w:hAnsi="Arial"/>
                <w:noProof/>
                <w:sz w:val="18"/>
              </w:rPr>
              <w:t>other mood or mental changes; chest pain; continuous, uncontrolled back and forth and/or rolling eye movem</w:t>
            </w:r>
            <w:r w:rsidR="002E30E0">
              <w:rPr>
                <w:rFonts w:ascii="Arial" w:hAnsi="Arial"/>
                <w:noProof/>
                <w:sz w:val="18"/>
              </w:rPr>
              <w:t>ents; infection; increased urge to urinate; flatulence; regurgitation of stomach acid or acidic taste in mouth; anorexia; increased sexual drive; dry skin; insomnia (not able to fall asleep or stay asleep); cough; bloody nose; alcohol intolerance; fever.</w:t>
            </w:r>
          </w:p>
          <w:p w14:paraId="05CF6CED" w14:textId="77777777" w:rsidR="003E1B1B" w:rsidRPr="003E1B1B" w:rsidRDefault="003E1B1B" w:rsidP="003E1B1B">
            <w:pPr>
              <w:rPr>
                <w:rFonts w:ascii="Arial" w:hAnsi="Arial"/>
                <w:b/>
                <w:snapToGrid w:val="0"/>
                <w:color w:val="000000"/>
                <w:sz w:val="18"/>
              </w:rPr>
            </w:pPr>
          </w:p>
        </w:tc>
      </w:tr>
      <w:tr w:rsidR="003379BD" w14:paraId="6D11B89B" w14:textId="77777777" w:rsidTr="00A448DD">
        <w:trPr>
          <w:trHeight w:val="576"/>
        </w:trPr>
        <w:tc>
          <w:tcPr>
            <w:tcW w:w="11448" w:type="dxa"/>
            <w:gridSpan w:val="2"/>
            <w:tcBorders>
              <w:top w:val="nil"/>
              <w:left w:val="nil"/>
              <w:bottom w:val="nil"/>
              <w:right w:val="nil"/>
            </w:tcBorders>
          </w:tcPr>
          <w:p w14:paraId="6BB61112" w14:textId="77777777" w:rsidR="00847C05" w:rsidRPr="003E1B1B" w:rsidRDefault="003379BD" w:rsidP="00A448DD">
            <w:pPr>
              <w:rPr>
                <w:rFonts w:ascii="Arial" w:hAnsi="Arial"/>
                <w:b/>
                <w:sz w:val="18"/>
              </w:rPr>
            </w:pPr>
            <w:r>
              <w:rPr>
                <w:rFonts w:ascii="Arial" w:hAnsi="Arial"/>
                <w:b/>
                <w:sz w:val="18"/>
              </w:rPr>
              <w:t>Rare Side Effects</w:t>
            </w:r>
            <w:r w:rsidR="003E1B1B">
              <w:rPr>
                <w:rFonts w:ascii="Arial" w:hAnsi="Arial"/>
                <w:b/>
                <w:sz w:val="18"/>
              </w:rPr>
              <w:t xml:space="preserve">: </w:t>
            </w:r>
            <w:r w:rsidR="003E1B1B">
              <w:rPr>
                <w:rFonts w:ascii="Arial" w:hAnsi="Arial"/>
                <w:sz w:val="18"/>
              </w:rPr>
              <w:t xml:space="preserve">Although </w:t>
            </w:r>
            <w:r w:rsidR="003E1B1B">
              <w:rPr>
                <w:rFonts w:ascii="Arial" w:hAnsi="Arial"/>
                <w:noProof/>
                <w:sz w:val="18"/>
              </w:rPr>
              <w:t>r</w:t>
            </w:r>
            <w:r w:rsidR="00847C05" w:rsidRPr="00F125E2">
              <w:rPr>
                <w:rFonts w:ascii="Arial" w:hAnsi="Arial"/>
                <w:noProof/>
                <w:sz w:val="18"/>
              </w:rPr>
              <w:t>are</w:t>
            </w:r>
            <w:r w:rsidR="003E1B1B">
              <w:rPr>
                <w:rFonts w:ascii="Arial" w:hAnsi="Arial"/>
                <w:noProof/>
                <w:sz w:val="18"/>
              </w:rPr>
              <w:t xml:space="preserve">, contact your doctor as soon as possible if you experience any of the following side effects: a rash with </w:t>
            </w:r>
            <w:r w:rsidR="00847C05" w:rsidRPr="00F125E2">
              <w:rPr>
                <w:rFonts w:ascii="Arial" w:hAnsi="Arial"/>
                <w:noProof/>
                <w:sz w:val="18"/>
              </w:rPr>
              <w:t xml:space="preserve">blistering, peeling, or loosening of skin; </w:t>
            </w:r>
            <w:r w:rsidR="00847C05">
              <w:rPr>
                <w:rFonts w:ascii="Arial" w:hAnsi="Arial"/>
                <w:noProof/>
                <w:sz w:val="18"/>
              </w:rPr>
              <w:t xml:space="preserve">liver failure; </w:t>
            </w:r>
            <w:r w:rsidR="00847C05" w:rsidRPr="00F125E2">
              <w:rPr>
                <w:rFonts w:ascii="Arial" w:hAnsi="Arial"/>
                <w:noProof/>
                <w:sz w:val="18"/>
              </w:rPr>
              <w:t>dark-colored urine; fever, chills, and/or sore throat; flu-like symptoms; itching; muscle cramps, pain, or weakness; red or irritated eyes; small red or purple spots on skin; sores, ulcer, or white spots on lips or in mouth; swelling of face, mouth, hands, or feet; swollen lymph nodes;</w:t>
            </w:r>
            <w:r w:rsidR="00847C05">
              <w:rPr>
                <w:rFonts w:ascii="Arial" w:hAnsi="Arial"/>
                <w:noProof/>
                <w:sz w:val="18"/>
              </w:rPr>
              <w:t xml:space="preserve"> anemia; </w:t>
            </w:r>
            <w:r w:rsidR="00847C05" w:rsidRPr="00F125E2">
              <w:rPr>
                <w:rFonts w:ascii="Arial" w:hAnsi="Arial"/>
                <w:noProof/>
                <w:sz w:val="18"/>
              </w:rPr>
              <w:t xml:space="preserve"> trouble in breathing; unusual bleeding or bruising; unusual tiredness or weakness; yellow eyes or skin</w:t>
            </w:r>
            <w:r w:rsidR="00890FFD">
              <w:rPr>
                <w:rFonts w:ascii="Arial" w:hAnsi="Arial"/>
                <w:noProof/>
                <w:sz w:val="18"/>
              </w:rPr>
              <w:t>; memory loss</w:t>
            </w:r>
            <w:r w:rsidR="00847C05" w:rsidRPr="00F125E2">
              <w:rPr>
                <w:rFonts w:ascii="Arial" w:hAnsi="Arial"/>
                <w:noProof/>
                <w:sz w:val="18"/>
              </w:rPr>
              <w:t>.</w:t>
            </w:r>
            <w:r w:rsidR="00847C05" w:rsidRPr="00F125E2">
              <w:rPr>
                <w:rFonts w:ascii="Arial" w:hAnsi="Arial"/>
                <w:noProof/>
                <w:sz w:val="18"/>
              </w:rPr>
              <w:br/>
            </w:r>
          </w:p>
          <w:p w14:paraId="42B9CD9C" w14:textId="77777777" w:rsidR="003E1B1B" w:rsidRDefault="003E1B1B" w:rsidP="00A448DD">
            <w:pPr>
              <w:rPr>
                <w:b/>
              </w:rPr>
            </w:pPr>
          </w:p>
        </w:tc>
      </w:tr>
      <w:tr w:rsidR="003379BD" w14:paraId="38412624" w14:textId="77777777" w:rsidTr="00A448DD">
        <w:trPr>
          <w:trHeight w:val="576"/>
        </w:trPr>
        <w:tc>
          <w:tcPr>
            <w:tcW w:w="11448" w:type="dxa"/>
            <w:gridSpan w:val="2"/>
            <w:tcBorders>
              <w:top w:val="nil"/>
              <w:left w:val="nil"/>
              <w:bottom w:val="nil"/>
              <w:right w:val="nil"/>
            </w:tcBorders>
          </w:tcPr>
          <w:p w14:paraId="5BE3F177"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52B35672" w14:textId="77777777" w:rsidR="0077265C" w:rsidRDefault="0077265C" w:rsidP="00AD441D">
            <w:pPr>
              <w:rPr>
                <w:rFonts w:ascii="Arial" w:hAnsi="Arial"/>
                <w:b/>
                <w:snapToGrid w:val="0"/>
                <w:color w:val="000000"/>
                <w:sz w:val="18"/>
              </w:rPr>
            </w:pPr>
          </w:p>
          <w:p w14:paraId="450822B0" w14:textId="77777777" w:rsidR="0077265C" w:rsidRDefault="0077265C" w:rsidP="0077265C">
            <w:pPr>
              <w:pStyle w:val="ListParagraph"/>
              <w:numPr>
                <w:ilvl w:val="0"/>
                <w:numId w:val="5"/>
              </w:numPr>
              <w:rPr>
                <w:rFonts w:ascii="Arial" w:hAnsi="Arial"/>
                <w:b/>
                <w:snapToGrid w:val="0"/>
                <w:color w:val="000000"/>
                <w:sz w:val="18"/>
              </w:rPr>
            </w:pPr>
            <w:r>
              <w:rPr>
                <w:rFonts w:ascii="Arial" w:hAnsi="Arial"/>
                <w:b/>
                <w:snapToGrid w:val="0"/>
                <w:color w:val="000000"/>
                <w:sz w:val="18"/>
              </w:rPr>
              <w:t>Driving and operating heavy machinery</w:t>
            </w:r>
          </w:p>
          <w:p w14:paraId="64279A85" w14:textId="77777777" w:rsidR="0077265C" w:rsidRDefault="0077265C" w:rsidP="0077265C">
            <w:pPr>
              <w:pStyle w:val="ListParagraph"/>
              <w:rPr>
                <w:rFonts w:ascii="Arial" w:hAnsi="Arial"/>
                <w:snapToGrid w:val="0"/>
                <w:color w:val="000000"/>
                <w:sz w:val="18"/>
              </w:rPr>
            </w:pPr>
            <w:r>
              <w:rPr>
                <w:rFonts w:ascii="Arial" w:hAnsi="Arial"/>
                <w:snapToGrid w:val="0"/>
                <w:color w:val="000000"/>
                <w:sz w:val="18"/>
              </w:rPr>
              <w:t>This medication may make it dangerous to operate heavy machinery, drive a car, or perform any other task that requires mental alertness. Wait to participate in these activities until you know how this medication affects you.</w:t>
            </w:r>
          </w:p>
          <w:p w14:paraId="5E5FBF53" w14:textId="77777777" w:rsidR="0077265C" w:rsidRPr="0077265C" w:rsidRDefault="0077265C" w:rsidP="0077265C">
            <w:pPr>
              <w:pStyle w:val="ListParagraph"/>
              <w:numPr>
                <w:ilvl w:val="0"/>
                <w:numId w:val="5"/>
              </w:numPr>
              <w:rPr>
                <w:rFonts w:ascii="Arial" w:hAnsi="Arial"/>
                <w:snapToGrid w:val="0"/>
                <w:color w:val="000000"/>
                <w:sz w:val="18"/>
              </w:rPr>
            </w:pPr>
            <w:r>
              <w:rPr>
                <w:rFonts w:ascii="Arial" w:hAnsi="Arial"/>
                <w:b/>
                <w:snapToGrid w:val="0"/>
                <w:color w:val="000000"/>
                <w:sz w:val="18"/>
              </w:rPr>
              <w:t>Aseptic Meningitis</w:t>
            </w:r>
          </w:p>
          <w:p w14:paraId="1A3BB948" w14:textId="77777777" w:rsidR="0077265C" w:rsidRDefault="0077265C" w:rsidP="0077265C">
            <w:pPr>
              <w:pStyle w:val="ListParagraph"/>
              <w:rPr>
                <w:rFonts w:ascii="Arial" w:hAnsi="Arial"/>
                <w:snapToGrid w:val="0"/>
                <w:color w:val="000000"/>
                <w:sz w:val="18"/>
              </w:rPr>
            </w:pPr>
            <w:r>
              <w:rPr>
                <w:rFonts w:ascii="Arial" w:hAnsi="Arial"/>
                <w:snapToGrid w:val="0"/>
                <w:color w:val="000000"/>
                <w:sz w:val="18"/>
              </w:rPr>
              <w:t>Although rare, i</w:t>
            </w:r>
            <w:r w:rsidRPr="0077265C">
              <w:rPr>
                <w:rFonts w:ascii="Arial" w:hAnsi="Arial"/>
                <w:snapToGrid w:val="0"/>
                <w:color w:val="000000"/>
                <w:sz w:val="18"/>
              </w:rPr>
              <w:t xml:space="preserve">ncreased risk of developing aseptic meningitis has been reported; symptoms (eg, headache, </w:t>
            </w:r>
            <w:r>
              <w:rPr>
                <w:rFonts w:ascii="Arial" w:hAnsi="Arial"/>
                <w:snapToGrid w:val="0"/>
                <w:color w:val="000000"/>
                <w:sz w:val="18"/>
              </w:rPr>
              <w:t xml:space="preserve">neck </w:t>
            </w:r>
            <w:r w:rsidRPr="0077265C">
              <w:rPr>
                <w:rFonts w:ascii="Arial" w:hAnsi="Arial"/>
                <w:snapToGrid w:val="0"/>
                <w:color w:val="000000"/>
                <w:sz w:val="18"/>
              </w:rPr>
              <w:t xml:space="preserve">rigidity, </w:t>
            </w:r>
            <w:r>
              <w:rPr>
                <w:rFonts w:ascii="Arial" w:hAnsi="Arial"/>
                <w:snapToGrid w:val="0"/>
                <w:color w:val="000000"/>
                <w:sz w:val="18"/>
              </w:rPr>
              <w:t>fever, nausea/vomiting, rash, fear of light</w:t>
            </w:r>
            <w:r w:rsidRPr="0077265C">
              <w:rPr>
                <w:rFonts w:ascii="Arial" w:hAnsi="Arial"/>
                <w:snapToGrid w:val="0"/>
                <w:color w:val="000000"/>
                <w:sz w:val="18"/>
              </w:rPr>
              <w:t>) have generally occurred within 1 to 45 days following therapy initiation.</w:t>
            </w:r>
          </w:p>
          <w:p w14:paraId="003FC8BD" w14:textId="77777777" w:rsidR="00A0455F" w:rsidRDefault="00A0455F" w:rsidP="00A0455F">
            <w:pPr>
              <w:pStyle w:val="ListParagraph"/>
              <w:numPr>
                <w:ilvl w:val="0"/>
                <w:numId w:val="5"/>
              </w:numPr>
              <w:rPr>
                <w:rFonts w:ascii="Arial" w:hAnsi="Arial"/>
                <w:b/>
                <w:snapToGrid w:val="0"/>
                <w:color w:val="000000"/>
                <w:sz w:val="18"/>
              </w:rPr>
            </w:pPr>
            <w:r>
              <w:rPr>
                <w:rFonts w:ascii="Arial" w:hAnsi="Arial"/>
                <w:b/>
                <w:snapToGrid w:val="0"/>
                <w:color w:val="000000"/>
                <w:sz w:val="18"/>
              </w:rPr>
              <w:t>Cardiovascular</w:t>
            </w:r>
          </w:p>
          <w:p w14:paraId="2A04BC60" w14:textId="77777777" w:rsidR="00A0455F" w:rsidRPr="00A0455F" w:rsidRDefault="00A0455F" w:rsidP="00A0455F">
            <w:pPr>
              <w:pStyle w:val="ListParagraph"/>
              <w:rPr>
                <w:rFonts w:ascii="Arial" w:hAnsi="Arial"/>
                <w:snapToGrid w:val="0"/>
                <w:color w:val="000000"/>
                <w:sz w:val="18"/>
              </w:rPr>
            </w:pPr>
            <w:r>
              <w:rPr>
                <w:rFonts w:ascii="Arial" w:hAnsi="Arial"/>
                <w:snapToGrid w:val="0"/>
                <w:color w:val="000000"/>
                <w:sz w:val="18"/>
              </w:rPr>
              <w:t>This medication may increase the risk of heart rhythm problems in patient with heart disease. Lamotrigine may increase the risk of serious arrhythmias which can be life threatening for patients with structural or functional heart disorders. The risk or arrhythmias may increase further if used in combination with other medications that block sodium channels in the heart.</w:t>
            </w:r>
          </w:p>
          <w:p w14:paraId="12BB6DD2" w14:textId="77777777" w:rsidR="00EA2F96" w:rsidRDefault="00EA2F96" w:rsidP="00EA2F96">
            <w:pPr>
              <w:pStyle w:val="ListParagraph"/>
              <w:numPr>
                <w:ilvl w:val="0"/>
                <w:numId w:val="5"/>
              </w:numPr>
              <w:rPr>
                <w:rFonts w:ascii="Arial" w:hAnsi="Arial"/>
                <w:b/>
                <w:snapToGrid w:val="0"/>
                <w:color w:val="000000"/>
                <w:sz w:val="18"/>
              </w:rPr>
            </w:pPr>
            <w:r w:rsidRPr="00EA2F96">
              <w:rPr>
                <w:rFonts w:ascii="Arial" w:hAnsi="Arial"/>
                <w:b/>
                <w:snapToGrid w:val="0"/>
                <w:color w:val="000000"/>
                <w:sz w:val="18"/>
              </w:rPr>
              <w:t>Hemophagocytic lymphohistiocytosis</w:t>
            </w:r>
          </w:p>
          <w:p w14:paraId="3B70C2F8" w14:textId="77777777" w:rsidR="00EA2F96" w:rsidRDefault="00EA2F96" w:rsidP="00EA2F96">
            <w:pPr>
              <w:pStyle w:val="ListParagraph"/>
              <w:rPr>
                <w:rFonts w:ascii="Arial" w:hAnsi="Arial"/>
                <w:snapToGrid w:val="0"/>
                <w:color w:val="000000"/>
                <w:sz w:val="18"/>
              </w:rPr>
            </w:pPr>
            <w:r w:rsidRPr="00EA2F96">
              <w:rPr>
                <w:rFonts w:ascii="Arial" w:hAnsi="Arial"/>
                <w:snapToGrid w:val="0"/>
                <w:color w:val="000000"/>
                <w:sz w:val="18"/>
              </w:rPr>
              <w:t>Hemophagocytic lymphohistiocytosis (HLH), a rare but life-threatening immune system reaction, has been reported with lamotrigine use. Sympt</w:t>
            </w:r>
            <w:r>
              <w:rPr>
                <w:rFonts w:ascii="Arial" w:hAnsi="Arial"/>
                <w:snapToGrid w:val="0"/>
                <w:color w:val="000000"/>
                <w:sz w:val="18"/>
              </w:rPr>
              <w:t>oms may include fever, rash, enlarged spleen/liver</w:t>
            </w:r>
            <w:r w:rsidRPr="00EA2F96">
              <w:rPr>
                <w:rFonts w:ascii="Arial" w:hAnsi="Arial"/>
                <w:snapToGrid w:val="0"/>
                <w:color w:val="000000"/>
                <w:sz w:val="18"/>
              </w:rPr>
              <w:t>, organ</w:t>
            </w:r>
            <w:r>
              <w:rPr>
                <w:rFonts w:ascii="Arial" w:hAnsi="Arial"/>
                <w:snapToGrid w:val="0"/>
                <w:color w:val="000000"/>
                <w:sz w:val="18"/>
              </w:rPr>
              <w:t xml:space="preserve"> system dysfunction, and blood abnormalities</w:t>
            </w:r>
            <w:r w:rsidRPr="00EA2F96">
              <w:rPr>
                <w:rFonts w:ascii="Arial" w:hAnsi="Arial"/>
                <w:snapToGrid w:val="0"/>
                <w:color w:val="000000"/>
                <w:sz w:val="18"/>
              </w:rPr>
              <w:t>. Onset usually occurs within the first several weeks after starting therapy.</w:t>
            </w:r>
          </w:p>
          <w:p w14:paraId="6FF467FA" w14:textId="77777777" w:rsidR="00EA2F96" w:rsidRDefault="00EA2F96" w:rsidP="00EA2F96">
            <w:pPr>
              <w:pStyle w:val="ListParagraph"/>
              <w:numPr>
                <w:ilvl w:val="0"/>
                <w:numId w:val="5"/>
              </w:numPr>
              <w:rPr>
                <w:rFonts w:ascii="Arial" w:hAnsi="Arial"/>
                <w:b/>
                <w:snapToGrid w:val="0"/>
                <w:color w:val="000000"/>
                <w:sz w:val="18"/>
              </w:rPr>
            </w:pPr>
            <w:r w:rsidRPr="00EA2F96">
              <w:rPr>
                <w:rFonts w:ascii="Arial" w:hAnsi="Arial"/>
                <w:b/>
                <w:snapToGrid w:val="0"/>
                <w:color w:val="000000"/>
                <w:sz w:val="18"/>
              </w:rPr>
              <w:t>Suicidal ideation</w:t>
            </w:r>
          </w:p>
          <w:p w14:paraId="0E45D164" w14:textId="77777777" w:rsidR="00EA2F96" w:rsidRDefault="00EA2F96" w:rsidP="00EA2F96">
            <w:pPr>
              <w:pStyle w:val="ListParagraph"/>
              <w:rPr>
                <w:rFonts w:ascii="Arial" w:hAnsi="Arial"/>
                <w:snapToGrid w:val="0"/>
                <w:color w:val="000000"/>
                <w:sz w:val="18"/>
              </w:rPr>
            </w:pPr>
            <w:r>
              <w:rPr>
                <w:rFonts w:ascii="Arial" w:hAnsi="Arial"/>
                <w:snapToGrid w:val="0"/>
                <w:color w:val="000000"/>
                <w:sz w:val="18"/>
              </w:rPr>
              <w:t xml:space="preserve">Although rare, there have been reports of new or worsening thoughts of </w:t>
            </w:r>
            <w:r w:rsidR="00D52354">
              <w:rPr>
                <w:rFonts w:ascii="Arial" w:hAnsi="Arial"/>
                <w:snapToGrid w:val="0"/>
                <w:color w:val="000000"/>
                <w:sz w:val="18"/>
              </w:rPr>
              <w:t>suicide associated with lamotrigine</w:t>
            </w:r>
            <w:r>
              <w:rPr>
                <w:rFonts w:ascii="Arial" w:hAnsi="Arial"/>
                <w:snapToGrid w:val="0"/>
                <w:color w:val="000000"/>
                <w:sz w:val="18"/>
              </w:rPr>
              <w:t xml:space="preserve">. This may happen as early as one week after starting the medication. If you do experience this, call your doctor as soon as possible. </w:t>
            </w:r>
          </w:p>
          <w:p w14:paraId="277EAEA3" w14:textId="77777777" w:rsidR="00EA2F96" w:rsidRPr="00EA2F96" w:rsidRDefault="00EA2F96" w:rsidP="00EA2F96">
            <w:pPr>
              <w:pStyle w:val="ListParagraph"/>
              <w:numPr>
                <w:ilvl w:val="0"/>
                <w:numId w:val="5"/>
              </w:numPr>
              <w:rPr>
                <w:rFonts w:ascii="Arial" w:hAnsi="Arial"/>
                <w:snapToGrid w:val="0"/>
                <w:color w:val="000000"/>
                <w:sz w:val="18"/>
              </w:rPr>
            </w:pPr>
            <w:r>
              <w:rPr>
                <w:rFonts w:ascii="Arial" w:hAnsi="Arial"/>
                <w:b/>
                <w:snapToGrid w:val="0"/>
                <w:color w:val="000000"/>
                <w:sz w:val="18"/>
              </w:rPr>
              <w:t>Withdrawal (Patients with seizures/ epilepsy)</w:t>
            </w:r>
          </w:p>
          <w:p w14:paraId="41FE7DBA" w14:textId="77777777" w:rsidR="00EA2F96" w:rsidRDefault="00EA2F96" w:rsidP="00EA2F96">
            <w:pPr>
              <w:pStyle w:val="ListParagraph"/>
              <w:rPr>
                <w:rFonts w:ascii="Arial" w:hAnsi="Arial"/>
                <w:snapToGrid w:val="0"/>
                <w:color w:val="000000"/>
                <w:sz w:val="18"/>
              </w:rPr>
            </w:pPr>
            <w:r w:rsidRPr="00EA2F96">
              <w:rPr>
                <w:rFonts w:ascii="Arial" w:hAnsi="Arial"/>
                <w:snapToGrid w:val="0"/>
                <w:color w:val="000000"/>
                <w:sz w:val="18"/>
              </w:rPr>
              <w:t>Anticonvulsants should not be discontinued abruptly because of the possibility of increasing seizure frequency; therapy should be withdrawn gradually to minimize the potential of increased seizure frequency, unless safety concerns require a more rapid withdrawal. Taper over at least 2 weeks if possible.</w:t>
            </w:r>
          </w:p>
          <w:p w14:paraId="5B2A3298" w14:textId="77777777" w:rsidR="00EA2F96" w:rsidRPr="00EA2F96" w:rsidRDefault="00EA2F96" w:rsidP="00EA2F96">
            <w:pPr>
              <w:pStyle w:val="ListParagraph"/>
              <w:numPr>
                <w:ilvl w:val="0"/>
                <w:numId w:val="5"/>
              </w:numPr>
              <w:rPr>
                <w:rFonts w:ascii="Arial" w:hAnsi="Arial"/>
                <w:snapToGrid w:val="0"/>
                <w:color w:val="000000"/>
                <w:sz w:val="18"/>
              </w:rPr>
            </w:pPr>
            <w:r>
              <w:rPr>
                <w:rFonts w:ascii="Arial" w:hAnsi="Arial"/>
                <w:b/>
                <w:snapToGrid w:val="0"/>
                <w:color w:val="000000"/>
                <w:sz w:val="18"/>
              </w:rPr>
              <w:t>Rash</w:t>
            </w:r>
          </w:p>
          <w:p w14:paraId="7CE3CBE1" w14:textId="77777777" w:rsidR="00EA2F96" w:rsidRDefault="00EA2F96" w:rsidP="00EA2F96">
            <w:pPr>
              <w:pStyle w:val="ListParagraph"/>
              <w:rPr>
                <w:rFonts w:ascii="Arial" w:hAnsi="Arial"/>
                <w:snapToGrid w:val="0"/>
                <w:color w:val="000000"/>
                <w:sz w:val="18"/>
              </w:rPr>
            </w:pPr>
            <w:r>
              <w:rPr>
                <w:rFonts w:ascii="Arial" w:hAnsi="Arial"/>
                <w:snapToGrid w:val="0"/>
                <w:color w:val="000000"/>
                <w:sz w:val="18"/>
              </w:rPr>
              <w:t>If you do experience a rash on this medication, especially is accompanied by fever, blistering or falling off of the skin, or swollen lymph nodes, call you doctor as soon as possible. This is a potentially life-threatening reaction that requires prompt medical attention.</w:t>
            </w:r>
          </w:p>
          <w:p w14:paraId="4A116EB3" w14:textId="77777777" w:rsidR="00EA2F96" w:rsidRPr="00EA2F96" w:rsidRDefault="00EA2F96" w:rsidP="00EA2F96">
            <w:pPr>
              <w:pStyle w:val="ListParagraph"/>
              <w:numPr>
                <w:ilvl w:val="0"/>
                <w:numId w:val="5"/>
              </w:numPr>
              <w:rPr>
                <w:rFonts w:ascii="Arial" w:hAnsi="Arial"/>
                <w:snapToGrid w:val="0"/>
                <w:color w:val="000000"/>
                <w:sz w:val="18"/>
              </w:rPr>
            </w:pPr>
            <w:r>
              <w:rPr>
                <w:rFonts w:ascii="Arial" w:hAnsi="Arial"/>
                <w:b/>
                <w:snapToGrid w:val="0"/>
                <w:color w:val="000000"/>
                <w:sz w:val="18"/>
              </w:rPr>
              <w:t xml:space="preserve">Alcohol and CNS depressants </w:t>
            </w:r>
          </w:p>
          <w:p w14:paraId="19D09B87" w14:textId="77777777" w:rsidR="00423D29" w:rsidRPr="00EA2F96" w:rsidRDefault="00423D29" w:rsidP="00EA2F96">
            <w:pPr>
              <w:pStyle w:val="ListParagraph"/>
              <w:rPr>
                <w:rFonts w:ascii="Arial" w:hAnsi="Arial"/>
                <w:noProof/>
                <w:sz w:val="18"/>
              </w:rPr>
            </w:pPr>
            <w:r w:rsidRPr="00EA2F96">
              <w:rPr>
                <w:rFonts w:ascii="Arial" w:hAnsi="Arial"/>
                <w:noProof/>
                <w:sz w:val="18"/>
              </w:rPr>
              <w:t>This medicine may increase the effects of alcohol and other central nervous system (CNS) depressants (medicines that make you drowsy or less alert). Some examples of CNS depressants are antihistamines or medicine for hay fever, other allergies, or colds; sedatives, tranquilizers, or sleeping medicine; prescription pain medicine or narcotics; barbiturates; medicine for seizures; muscle relaxants; or anesthetics, including some dental anesthetics.</w:t>
            </w:r>
          </w:p>
          <w:p w14:paraId="72EB3CFE" w14:textId="77777777" w:rsidR="000D58A5" w:rsidRDefault="000D58A5" w:rsidP="00A448DD">
            <w:pPr>
              <w:rPr>
                <w:rFonts w:ascii="Arial" w:hAnsi="Arial"/>
                <w:noProof/>
                <w:sz w:val="18"/>
              </w:rPr>
            </w:pPr>
          </w:p>
          <w:p w14:paraId="458FC9E5" w14:textId="77777777" w:rsidR="000D58A5" w:rsidRDefault="000D58A5" w:rsidP="00A448DD">
            <w:pPr>
              <w:rPr>
                <w:b/>
              </w:rPr>
            </w:pPr>
          </w:p>
        </w:tc>
      </w:tr>
      <w:tr w:rsidR="003379BD" w14:paraId="7434A68C" w14:textId="77777777" w:rsidTr="00A448DD">
        <w:trPr>
          <w:trHeight w:val="576"/>
        </w:trPr>
        <w:tc>
          <w:tcPr>
            <w:tcW w:w="11448" w:type="dxa"/>
            <w:gridSpan w:val="2"/>
            <w:tcBorders>
              <w:top w:val="nil"/>
              <w:left w:val="nil"/>
              <w:bottom w:val="nil"/>
              <w:right w:val="nil"/>
            </w:tcBorders>
          </w:tcPr>
          <w:p w14:paraId="366105A6" w14:textId="77777777" w:rsidR="00423D29" w:rsidRPr="000D58A5" w:rsidRDefault="003379BD" w:rsidP="00423D29">
            <w:pPr>
              <w:rPr>
                <w:rFonts w:ascii="Arial" w:hAnsi="Arial"/>
                <w:b/>
                <w:snapToGrid w:val="0"/>
                <w:color w:val="000000"/>
                <w:sz w:val="18"/>
              </w:rPr>
            </w:pPr>
            <w:r>
              <w:rPr>
                <w:rFonts w:ascii="Arial" w:hAnsi="Arial"/>
                <w:b/>
                <w:snapToGrid w:val="0"/>
                <w:color w:val="000000"/>
                <w:sz w:val="18"/>
              </w:rPr>
              <w:t>Warning</w:t>
            </w:r>
            <w:r w:rsidR="000D58A5">
              <w:rPr>
                <w:rFonts w:ascii="Arial" w:hAnsi="Arial"/>
                <w:b/>
                <w:snapToGrid w:val="0"/>
                <w:color w:val="000000"/>
                <w:sz w:val="18"/>
              </w:rPr>
              <w:t>: [</w:t>
            </w:r>
            <w:r w:rsidR="000D58A5">
              <w:rPr>
                <w:rFonts w:ascii="Arial" w:hAnsi="Arial"/>
                <w:b/>
                <w:sz w:val="18"/>
              </w:rPr>
              <w:t>Black Box Warning]</w:t>
            </w:r>
            <w:r w:rsidR="000D58A5">
              <w:rPr>
                <w:rFonts w:ascii="Arial" w:hAnsi="Arial"/>
                <w:b/>
                <w:snapToGrid w:val="0"/>
                <w:color w:val="000000"/>
                <w:sz w:val="18"/>
              </w:rPr>
              <w:t xml:space="preserve">: </w:t>
            </w:r>
            <w:r w:rsidR="00423D29" w:rsidRPr="000D58A5">
              <w:rPr>
                <w:rFonts w:ascii="Arial" w:hAnsi="Arial"/>
                <w:b/>
                <w:sz w:val="18"/>
              </w:rPr>
              <w:t>Serious Dermatological Reactions</w:t>
            </w:r>
            <w:r w:rsidR="000D58A5">
              <w:rPr>
                <w:rFonts w:ascii="Arial" w:hAnsi="Arial"/>
                <w:b/>
                <w:sz w:val="18"/>
              </w:rPr>
              <w:t>:</w:t>
            </w:r>
            <w:r w:rsidR="000D58A5">
              <w:rPr>
                <w:rFonts w:ascii="Arial" w:hAnsi="Arial"/>
                <w:b/>
                <w:snapToGrid w:val="0"/>
                <w:color w:val="000000"/>
                <w:sz w:val="18"/>
              </w:rPr>
              <w:t xml:space="preserve"> </w:t>
            </w:r>
            <w:r w:rsidR="00423D29" w:rsidRPr="001D6E1E">
              <w:rPr>
                <w:rFonts w:ascii="Arial" w:hAnsi="Arial"/>
                <w:sz w:val="18"/>
              </w:rPr>
              <w:t xml:space="preserve">Incidence in Epilepsy Treatment: Serious rashes requiring hospitalization (including Stevens Johnson </w:t>
            </w:r>
            <w:r w:rsidR="00423D29" w:rsidRPr="00A55B08">
              <w:rPr>
                <w:rFonts w:ascii="Arial" w:hAnsi="Arial"/>
                <w:sz w:val="18"/>
                <w:szCs w:val="18"/>
              </w:rPr>
              <w:t xml:space="preserve">Syndrome </w:t>
            </w:r>
            <w:r w:rsidR="00423D29" w:rsidRPr="00EB318A">
              <w:rPr>
                <w:rFonts w:ascii="Arial" w:hAnsi="Arial" w:cs="Arial"/>
                <w:color w:val="25282A"/>
                <w:sz w:val="18"/>
                <w:szCs w:val="18"/>
              </w:rPr>
              <w:t>and toxic epidermal necrolysis, or rash-related death have been caused by lamotrigine</w:t>
            </w:r>
            <w:r w:rsidR="00423D29" w:rsidRPr="00A55B08">
              <w:rPr>
                <w:rFonts w:ascii="Arial" w:hAnsi="Arial"/>
                <w:sz w:val="18"/>
                <w:szCs w:val="18"/>
              </w:rPr>
              <w:t>)</w:t>
            </w:r>
            <w:r w:rsidR="00423D29">
              <w:rPr>
                <w:rFonts w:ascii="Arial" w:hAnsi="Arial"/>
                <w:sz w:val="18"/>
              </w:rPr>
              <w:t>.</w:t>
            </w:r>
            <w:r w:rsidR="00423D29" w:rsidRPr="001D6E1E">
              <w:rPr>
                <w:rFonts w:ascii="Arial" w:hAnsi="Arial"/>
                <w:sz w:val="18"/>
              </w:rPr>
              <w:t xml:space="preserve"> </w:t>
            </w:r>
            <w:r w:rsidR="00423D29" w:rsidRPr="00EB318A">
              <w:rPr>
                <w:rFonts w:ascii="Arial" w:hAnsi="Arial" w:cs="Arial"/>
                <w:color w:val="25282A"/>
                <w:sz w:val="18"/>
                <w:szCs w:val="18"/>
              </w:rPr>
              <w:t xml:space="preserve">The rate of serious rash is greater in pediatric patients than in adults. </w:t>
            </w:r>
            <w:r w:rsidR="00423D29">
              <w:rPr>
                <w:rFonts w:ascii="Arial" w:hAnsi="Arial"/>
                <w:sz w:val="18"/>
              </w:rPr>
              <w:t>D</w:t>
            </w:r>
            <w:r w:rsidR="00423D29" w:rsidRPr="001D6E1E">
              <w:rPr>
                <w:rFonts w:ascii="Arial" w:hAnsi="Arial"/>
                <w:sz w:val="18"/>
              </w:rPr>
              <w:t>iscontinuation of treatment have occurred in approximately 0.8% of pediatric patients (2 to 16 yrs) and in 0.3% in adults who have received the drug as adjunctive therapy for epilepsy. Incidence in Bipolar/Mood Disorders Treatment: Adults In trials of bipolar and other mood disorders, the rate of serious rash was 0.08% in adult patients receiving this drug as initial monotherapy and 0.13% in adult patients receiving lamotrigine as adjunctive therapy.</w:t>
            </w:r>
          </w:p>
          <w:p w14:paraId="43229196" w14:textId="77777777" w:rsidR="00423D29" w:rsidRPr="001D6E1E" w:rsidRDefault="00423D29" w:rsidP="00423D29">
            <w:pPr>
              <w:rPr>
                <w:rFonts w:ascii="Arial" w:hAnsi="Arial"/>
                <w:sz w:val="18"/>
              </w:rPr>
            </w:pPr>
          </w:p>
          <w:p w14:paraId="203810FE" w14:textId="77777777" w:rsidR="00423D29" w:rsidRPr="001D6E1E" w:rsidRDefault="00423D29" w:rsidP="00423D29">
            <w:pPr>
              <w:rPr>
                <w:rFonts w:ascii="Arial" w:hAnsi="Arial"/>
                <w:sz w:val="18"/>
              </w:rPr>
            </w:pPr>
            <w:r w:rsidRPr="001D6E1E">
              <w:rPr>
                <w:rFonts w:ascii="Arial" w:hAnsi="Arial"/>
                <w:sz w:val="18"/>
              </w:rPr>
              <w:t>Incidence in Epilepsy Treatment: Pediatric Patients In a prospectively followed cohort of 1,983 pediatric patients with epilepsy taking the adjunctive lamotrigine, there was 1 rash related death</w:t>
            </w:r>
            <w:r w:rsidR="00A448DD" w:rsidRPr="001D6E1E">
              <w:rPr>
                <w:rFonts w:ascii="Arial" w:hAnsi="Arial"/>
                <w:sz w:val="18"/>
              </w:rPr>
              <w:t xml:space="preserve">. </w:t>
            </w:r>
            <w:r w:rsidRPr="001D6E1E">
              <w:rPr>
                <w:rFonts w:ascii="Arial" w:hAnsi="Arial"/>
                <w:sz w:val="18"/>
              </w:rPr>
              <w:t>Toxic epidermal necrolysis In worldwide post marketi</w:t>
            </w:r>
            <w:r w:rsidR="002947E8">
              <w:rPr>
                <w:rFonts w:ascii="Arial" w:hAnsi="Arial"/>
                <w:sz w:val="18"/>
              </w:rPr>
              <w:t xml:space="preserve">ng experience, rare cases of </w:t>
            </w:r>
            <w:r w:rsidR="002947E8">
              <w:rPr>
                <w:rFonts w:ascii="Arial" w:hAnsi="Arial"/>
                <w:sz w:val="18"/>
              </w:rPr>
              <w:lastRenderedPageBreak/>
              <w:t>toxic epidermal necrolysis (TEN)</w:t>
            </w:r>
            <w:r w:rsidRPr="001D6E1E">
              <w:rPr>
                <w:rFonts w:ascii="Arial" w:hAnsi="Arial"/>
                <w:sz w:val="18"/>
              </w:rPr>
              <w:t xml:space="preserve"> and/or rash related death have been reported in adult and pediatric patients, but the numbers are too few to permit a precise estimate of the rate.</w:t>
            </w:r>
          </w:p>
          <w:p w14:paraId="21F0B086" w14:textId="77777777" w:rsidR="00423D29" w:rsidRPr="001D6E1E" w:rsidRDefault="00423D29" w:rsidP="00423D29">
            <w:pPr>
              <w:rPr>
                <w:rFonts w:ascii="Arial" w:hAnsi="Arial"/>
                <w:sz w:val="18"/>
              </w:rPr>
            </w:pPr>
          </w:p>
          <w:p w14:paraId="29B0CCC3" w14:textId="77777777" w:rsidR="00423D29" w:rsidRPr="001D6E1E" w:rsidRDefault="00423D29" w:rsidP="00423D29">
            <w:pPr>
              <w:rPr>
                <w:rFonts w:ascii="Arial" w:hAnsi="Arial"/>
                <w:sz w:val="18"/>
              </w:rPr>
            </w:pPr>
            <w:r w:rsidRPr="001D6E1E">
              <w:rPr>
                <w:rFonts w:ascii="Arial" w:hAnsi="Arial"/>
                <w:sz w:val="18"/>
              </w:rPr>
              <w:t>Potential Risk Factors</w:t>
            </w:r>
          </w:p>
          <w:p w14:paraId="7EAC24A3" w14:textId="77777777" w:rsidR="00423D29" w:rsidRPr="001D6E1E" w:rsidRDefault="00423D29" w:rsidP="00423D29">
            <w:pPr>
              <w:rPr>
                <w:rFonts w:ascii="Arial" w:hAnsi="Arial"/>
                <w:sz w:val="18"/>
              </w:rPr>
            </w:pPr>
            <w:r w:rsidRPr="001D6E1E">
              <w:rPr>
                <w:rFonts w:ascii="Arial" w:hAnsi="Arial"/>
                <w:sz w:val="18"/>
              </w:rPr>
              <w:t>Other than age, there are as yet no factors identified that are known to predict the risk of occurrence or the severity of rash associated with lamotrigine. Other possible risk factors (yet to be proven) include:</w:t>
            </w:r>
          </w:p>
          <w:p w14:paraId="2D066C37" w14:textId="77777777" w:rsidR="00423D29" w:rsidRPr="001D6E1E" w:rsidRDefault="00423D29" w:rsidP="00423D29">
            <w:pPr>
              <w:rPr>
                <w:rFonts w:ascii="Arial" w:hAnsi="Arial"/>
                <w:sz w:val="18"/>
              </w:rPr>
            </w:pPr>
            <w:r w:rsidRPr="001D6E1E">
              <w:rPr>
                <w:rFonts w:ascii="Arial" w:hAnsi="Arial"/>
                <w:sz w:val="18"/>
              </w:rPr>
              <w:t xml:space="preserve">—concurrent use with valproate (includes valproic acid and divalproex sodium), or </w:t>
            </w:r>
          </w:p>
          <w:p w14:paraId="6A723C24" w14:textId="77777777" w:rsidR="00423D29" w:rsidRPr="001D6E1E" w:rsidRDefault="00423D29" w:rsidP="00423D29">
            <w:pPr>
              <w:rPr>
                <w:rFonts w:ascii="Arial" w:hAnsi="Arial"/>
                <w:sz w:val="18"/>
              </w:rPr>
            </w:pPr>
            <w:r w:rsidRPr="001D6E1E">
              <w:rPr>
                <w:rFonts w:ascii="Arial" w:hAnsi="Arial"/>
                <w:sz w:val="18"/>
              </w:rPr>
              <w:t>—exceeding the recommended initial dose or dose escalation schedule; however, cases have been reported in the absence of these factors.</w:t>
            </w:r>
          </w:p>
          <w:p w14:paraId="3B7A19D4" w14:textId="77777777" w:rsidR="00423D29" w:rsidRPr="001D6E1E" w:rsidRDefault="00423D29" w:rsidP="00423D29">
            <w:pPr>
              <w:rPr>
                <w:rFonts w:ascii="Arial" w:hAnsi="Arial"/>
                <w:sz w:val="18"/>
              </w:rPr>
            </w:pPr>
          </w:p>
          <w:p w14:paraId="563DB14E" w14:textId="77777777" w:rsidR="00423D29" w:rsidRPr="001D6E1E" w:rsidRDefault="00423D29" w:rsidP="00423D29">
            <w:pPr>
              <w:rPr>
                <w:rFonts w:ascii="Arial" w:hAnsi="Arial"/>
                <w:sz w:val="18"/>
              </w:rPr>
            </w:pPr>
            <w:r w:rsidRPr="001D6E1E">
              <w:rPr>
                <w:rFonts w:ascii="Arial" w:hAnsi="Arial"/>
                <w:sz w:val="18"/>
              </w:rPr>
              <w:t>Onset, Duration, Discontinuation of Treatment</w:t>
            </w:r>
          </w:p>
          <w:p w14:paraId="17C7EEA1" w14:textId="77777777" w:rsidR="00423D29" w:rsidRPr="001D6E1E" w:rsidRDefault="00423D29" w:rsidP="00423D29">
            <w:pPr>
              <w:rPr>
                <w:rFonts w:ascii="Arial" w:hAnsi="Arial"/>
                <w:sz w:val="18"/>
              </w:rPr>
            </w:pPr>
            <w:r w:rsidRPr="001D6E1E">
              <w:rPr>
                <w:rFonts w:ascii="Arial" w:hAnsi="Arial"/>
                <w:sz w:val="18"/>
              </w:rPr>
              <w:t>Onset: Almost all life-threatening rashes have occurred within 2 to 8 weeks of lamotrigine therapy but have also occurred after prolonged treatment (e.g.</w:t>
            </w:r>
            <w:r>
              <w:rPr>
                <w:rFonts w:ascii="Arial" w:hAnsi="Arial"/>
                <w:sz w:val="18"/>
              </w:rPr>
              <w:t>,</w:t>
            </w:r>
            <w:r w:rsidRPr="001D6E1E">
              <w:rPr>
                <w:rFonts w:ascii="Arial" w:hAnsi="Arial"/>
                <w:sz w:val="18"/>
              </w:rPr>
              <w:t xml:space="preserve"> 6 months).</w:t>
            </w:r>
          </w:p>
          <w:p w14:paraId="6C1A628A" w14:textId="77777777" w:rsidR="00423D29" w:rsidRPr="001D6E1E" w:rsidRDefault="00423D29" w:rsidP="00423D29">
            <w:pPr>
              <w:rPr>
                <w:rFonts w:ascii="Arial" w:hAnsi="Arial"/>
                <w:sz w:val="18"/>
              </w:rPr>
            </w:pPr>
            <w:r w:rsidRPr="001D6E1E">
              <w:rPr>
                <w:rFonts w:ascii="Arial" w:hAnsi="Arial"/>
                <w:sz w:val="18"/>
              </w:rPr>
              <w:t>Duration cannot be relied upon as a means to predict the potential risk heralded by the first appearance of a rash.</w:t>
            </w:r>
          </w:p>
          <w:p w14:paraId="4B432FFC" w14:textId="77777777" w:rsidR="00423D29" w:rsidRPr="001D6E1E" w:rsidRDefault="00423D29" w:rsidP="00423D29">
            <w:pPr>
              <w:rPr>
                <w:rFonts w:ascii="Arial" w:hAnsi="Arial"/>
                <w:sz w:val="18"/>
              </w:rPr>
            </w:pPr>
            <w:r w:rsidRPr="001D6E1E">
              <w:rPr>
                <w:rFonts w:ascii="Arial" w:hAnsi="Arial"/>
                <w:sz w:val="18"/>
              </w:rPr>
              <w:t xml:space="preserve">Although benign rashes also occur with lamotrigine, it is not possible to predict reliably which rashes will prove to be serious of life threatening. Thus, the drug should be discontinued at the first sign of rash, unless the rash is clearly not drug related. Discontinuation of treatment may not prevent a rash from becoming life threatening or permanently disabling or disfiguring. </w:t>
            </w:r>
          </w:p>
          <w:p w14:paraId="6B94A718" w14:textId="77777777" w:rsidR="00423D29" w:rsidRPr="001D6E1E" w:rsidRDefault="00423D29" w:rsidP="00423D29">
            <w:pPr>
              <w:rPr>
                <w:rFonts w:ascii="Arial" w:hAnsi="Arial"/>
                <w:sz w:val="18"/>
              </w:rPr>
            </w:pPr>
          </w:p>
          <w:p w14:paraId="40DB27AC" w14:textId="77777777" w:rsidR="00423D29" w:rsidRPr="001D6E1E" w:rsidRDefault="00423D29" w:rsidP="00423D29">
            <w:pPr>
              <w:rPr>
                <w:rFonts w:ascii="Arial" w:hAnsi="Arial"/>
                <w:sz w:val="18"/>
              </w:rPr>
            </w:pPr>
            <w:r w:rsidRPr="001D6E1E">
              <w:rPr>
                <w:rFonts w:ascii="Arial" w:hAnsi="Arial"/>
                <w:sz w:val="18"/>
              </w:rPr>
              <w:t>MONITORING RECOMMENDATIONS RELATED TO BLACK BOX DATA</w:t>
            </w:r>
          </w:p>
          <w:p w14:paraId="328DD750" w14:textId="77777777" w:rsidR="00423D29" w:rsidRPr="001D6E1E" w:rsidRDefault="00423D29" w:rsidP="00423D29">
            <w:pPr>
              <w:rPr>
                <w:rFonts w:ascii="Arial" w:hAnsi="Arial"/>
                <w:sz w:val="18"/>
              </w:rPr>
            </w:pPr>
            <w:r w:rsidRPr="001D6E1E">
              <w:rPr>
                <w:rFonts w:ascii="Arial" w:hAnsi="Arial"/>
                <w:sz w:val="18"/>
              </w:rPr>
              <w:t>—Discontinue at first sign of rash, unless the rash is not drug related.</w:t>
            </w:r>
          </w:p>
          <w:p w14:paraId="0689EC23" w14:textId="77777777" w:rsidR="00423D29" w:rsidRDefault="00423D29" w:rsidP="00A448DD">
            <w:pPr>
              <w:rPr>
                <w:b/>
              </w:rPr>
            </w:pPr>
            <w:r w:rsidRPr="001D6E1E">
              <w:rPr>
                <w:rFonts w:ascii="Arial" w:hAnsi="Arial"/>
                <w:sz w:val="18"/>
              </w:rPr>
              <w:t xml:space="preserve">—Discontinuation of treatment may not prevent rash from becoming </w:t>
            </w:r>
            <w:r>
              <w:rPr>
                <w:rFonts w:ascii="Arial" w:hAnsi="Arial"/>
                <w:sz w:val="18"/>
              </w:rPr>
              <w:t>life-</w:t>
            </w:r>
            <w:r w:rsidRPr="001D6E1E">
              <w:rPr>
                <w:rFonts w:ascii="Arial" w:hAnsi="Arial"/>
                <w:sz w:val="18"/>
              </w:rPr>
              <w:t>threatening or permanently disabling.</w:t>
            </w:r>
          </w:p>
        </w:tc>
      </w:tr>
      <w:tr w:rsidR="003379BD" w14:paraId="734C4D7F" w14:textId="77777777">
        <w:trPr>
          <w:cantSplit/>
          <w:trHeight w:hRule="exact" w:val="288"/>
        </w:trPr>
        <w:tc>
          <w:tcPr>
            <w:tcW w:w="11448" w:type="dxa"/>
            <w:gridSpan w:val="2"/>
            <w:tcBorders>
              <w:top w:val="nil"/>
              <w:left w:val="nil"/>
              <w:bottom w:val="single" w:sz="4" w:space="0" w:color="auto"/>
              <w:right w:val="nil"/>
            </w:tcBorders>
            <w:vAlign w:val="bottom"/>
          </w:tcPr>
          <w:p w14:paraId="22E62CAA" w14:textId="0E979A34" w:rsidR="003379BD" w:rsidRDefault="003379BD" w:rsidP="005325D4">
            <w:pPr>
              <w:rPr>
                <w:rFonts w:ascii="Arial" w:hAnsi="Arial"/>
                <w:sz w:val="18"/>
              </w:rPr>
            </w:pPr>
            <w:r>
              <w:rPr>
                <w:rFonts w:ascii="Arial" w:hAnsi="Arial"/>
                <w:sz w:val="18"/>
              </w:rPr>
              <w:lastRenderedPageBreak/>
              <w:t xml:space="preserve">See </w:t>
            </w:r>
            <w:r w:rsidR="003E363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C4ED387" w14:textId="77777777">
        <w:trPr>
          <w:cantSplit/>
        </w:trPr>
        <w:tc>
          <w:tcPr>
            <w:tcW w:w="11448" w:type="dxa"/>
            <w:gridSpan w:val="2"/>
            <w:tcBorders>
              <w:top w:val="nil"/>
              <w:left w:val="nil"/>
              <w:bottom w:val="nil"/>
              <w:right w:val="nil"/>
            </w:tcBorders>
          </w:tcPr>
          <w:p w14:paraId="5145F5E0"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03F66C38"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FA24BA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03D1F0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3DD50A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C6CC89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45887E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363499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230C06E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F723B04" w14:textId="77777777" w:rsidR="003379BD" w:rsidRDefault="003379BD">
            <w:pPr>
              <w:tabs>
                <w:tab w:val="left" w:pos="360"/>
                <w:tab w:val="left" w:pos="630"/>
              </w:tabs>
              <w:rPr>
                <w:rFonts w:ascii="Arial" w:hAnsi="Arial"/>
                <w:sz w:val="10"/>
              </w:rPr>
            </w:pPr>
          </w:p>
        </w:tc>
      </w:tr>
    </w:tbl>
    <w:p w14:paraId="7715E264"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52AC900" w14:textId="77777777" w:rsidTr="0021563E">
        <w:trPr>
          <w:cantSplit/>
        </w:trPr>
        <w:tc>
          <w:tcPr>
            <w:tcW w:w="9918" w:type="dxa"/>
            <w:gridSpan w:val="5"/>
            <w:tcBorders>
              <w:top w:val="nil"/>
              <w:left w:val="nil"/>
              <w:bottom w:val="nil"/>
              <w:right w:val="nil"/>
            </w:tcBorders>
          </w:tcPr>
          <w:p w14:paraId="1D9B1C6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29C6710" w14:textId="77777777" w:rsidR="003379BD" w:rsidRDefault="005325D4" w:rsidP="0021563E">
            <w:pPr>
              <w:ind w:left="-18"/>
              <w:rPr>
                <w:rFonts w:ascii="Arial" w:hAnsi="Arial"/>
                <w:b/>
                <w:sz w:val="18"/>
              </w:rPr>
            </w:pPr>
            <w:r>
              <w:rPr>
                <w:rFonts w:ascii="Arial" w:hAnsi="Arial"/>
                <w:b/>
                <w:sz w:val="18"/>
              </w:rPr>
              <w:t>DATE SIGNED</w:t>
            </w:r>
          </w:p>
        </w:tc>
      </w:tr>
      <w:tr w:rsidR="003379BD" w14:paraId="6605427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56DC5F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F505AB8"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8B4EB23"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FAD4A38" w14:textId="77777777" w:rsidR="003379BD" w:rsidRDefault="003379BD">
            <w:pPr>
              <w:rPr>
                <w:rFonts w:ascii="Arial" w:hAnsi="Arial"/>
                <w:sz w:val="18"/>
              </w:rPr>
            </w:pPr>
          </w:p>
        </w:tc>
      </w:tr>
      <w:tr w:rsidR="003379BD" w14:paraId="5EE41D5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2D50196"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0AAD69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4F67B46" w14:textId="77777777" w:rsidR="003379BD" w:rsidRDefault="003379BD">
            <w:pPr>
              <w:rPr>
                <w:rFonts w:ascii="Arial" w:hAnsi="Arial"/>
                <w:sz w:val="18"/>
              </w:rPr>
            </w:pPr>
          </w:p>
        </w:tc>
      </w:tr>
      <w:tr w:rsidR="007A6FC3" w14:paraId="62B0D05F" w14:textId="77777777">
        <w:trPr>
          <w:cantSplit/>
          <w:trHeight w:hRule="exact" w:val="864"/>
        </w:trPr>
        <w:tc>
          <w:tcPr>
            <w:tcW w:w="11448" w:type="dxa"/>
            <w:gridSpan w:val="6"/>
            <w:tcBorders>
              <w:top w:val="single" w:sz="4" w:space="0" w:color="auto"/>
              <w:left w:val="nil"/>
              <w:bottom w:val="single" w:sz="4" w:space="0" w:color="auto"/>
              <w:right w:val="nil"/>
            </w:tcBorders>
          </w:tcPr>
          <w:p w14:paraId="7046AEE7"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3A92D8D"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436C17A"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B4C34C3"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C4557F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184BF5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590DFE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1EA6A3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8F8F2BB"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581F82">
              <w:rPr>
                <w:rFonts w:ascii="Arial" w:hAnsi="Arial"/>
                <w:sz w:val="18"/>
              </w:rPr>
            </w:r>
            <w:r w:rsidR="00581F8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D56C30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CADF49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588CA88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72A5049"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2485D55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AB31" w14:textId="77777777" w:rsidR="00A9405F" w:rsidRDefault="00A9405F" w:rsidP="007A6FC3">
      <w:r>
        <w:separator/>
      </w:r>
    </w:p>
  </w:endnote>
  <w:endnote w:type="continuationSeparator" w:id="0">
    <w:p w14:paraId="1F088D29" w14:textId="77777777" w:rsidR="00A9405F" w:rsidRDefault="00A9405F"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0DA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974">
      <w:rPr>
        <w:rStyle w:val="PageNumber"/>
        <w:noProof/>
      </w:rPr>
      <w:t>3</w:t>
    </w:r>
    <w:r>
      <w:rPr>
        <w:rStyle w:val="PageNumber"/>
      </w:rPr>
      <w:fldChar w:fldCharType="end"/>
    </w:r>
  </w:p>
  <w:p w14:paraId="6C63ECF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D82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974">
      <w:rPr>
        <w:rStyle w:val="PageNumber"/>
        <w:noProof/>
      </w:rPr>
      <w:t>3</w:t>
    </w:r>
    <w:r>
      <w:rPr>
        <w:rStyle w:val="PageNumber"/>
      </w:rPr>
      <w:fldChar w:fldCharType="end"/>
    </w:r>
  </w:p>
  <w:p w14:paraId="3C47CD06"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93AE4A6" w14:textId="77777777" w:rsidTr="00CC7A80">
      <w:tc>
        <w:tcPr>
          <w:tcW w:w="1932" w:type="dxa"/>
          <w:shd w:val="clear" w:color="auto" w:fill="auto"/>
        </w:tcPr>
        <w:p w14:paraId="3FA7B02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F1CD202"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FB15F6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2A5F9F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47342C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4D4F801" w14:textId="77777777" w:rsidR="0018307F" w:rsidRPr="00CC7A80" w:rsidRDefault="0018307F" w:rsidP="00CC7A80">
          <w:pPr>
            <w:pStyle w:val="Footer"/>
            <w:jc w:val="right"/>
            <w:rPr>
              <w:rFonts w:ascii="Arial" w:hAnsi="Arial" w:cs="Arial"/>
              <w:sz w:val="18"/>
              <w:szCs w:val="18"/>
            </w:rPr>
          </w:pPr>
        </w:p>
      </w:tc>
    </w:tr>
  </w:tbl>
  <w:p w14:paraId="6362AD89" w14:textId="77777777" w:rsidR="0018307F" w:rsidRDefault="0018307F" w:rsidP="0021563E">
    <w:pPr>
      <w:pStyle w:val="Footer"/>
      <w:jc w:val="right"/>
    </w:pPr>
  </w:p>
  <w:p w14:paraId="5BA85D13"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031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974">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6B6FD9C" w14:textId="77777777" w:rsidTr="00CC7A80">
      <w:tc>
        <w:tcPr>
          <w:tcW w:w="1932" w:type="dxa"/>
          <w:shd w:val="clear" w:color="auto" w:fill="auto"/>
        </w:tcPr>
        <w:p w14:paraId="19F45DE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EC3E9C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CED006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B34C88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2FDD8D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F742B8A" w14:textId="77777777" w:rsidR="0018307F" w:rsidRPr="00CC7A80" w:rsidRDefault="0018307F" w:rsidP="00CC7A80">
          <w:pPr>
            <w:pStyle w:val="Footer"/>
            <w:jc w:val="right"/>
            <w:rPr>
              <w:rFonts w:ascii="Arial" w:hAnsi="Arial" w:cs="Arial"/>
              <w:sz w:val="18"/>
              <w:szCs w:val="18"/>
            </w:rPr>
          </w:pPr>
        </w:p>
      </w:tc>
    </w:tr>
  </w:tbl>
  <w:p w14:paraId="652C378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471D" w14:textId="77777777" w:rsidR="00A9405F" w:rsidRDefault="00A9405F" w:rsidP="007A6FC3">
      <w:r>
        <w:separator/>
      </w:r>
    </w:p>
  </w:footnote>
  <w:footnote w:type="continuationSeparator" w:id="0">
    <w:p w14:paraId="1231F40D" w14:textId="77777777" w:rsidR="00A9405F" w:rsidRDefault="00A9405F"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63F5457"/>
    <w:multiLevelType w:val="hybridMultilevel"/>
    <w:tmpl w:val="FC82B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358114346">
    <w:abstractNumId w:val="2"/>
  </w:num>
  <w:num w:numId="2" w16cid:durableId="1929734032">
    <w:abstractNumId w:val="4"/>
  </w:num>
  <w:num w:numId="3" w16cid:durableId="1101950414">
    <w:abstractNumId w:val="3"/>
  </w:num>
  <w:num w:numId="4" w16cid:durableId="120225207">
    <w:abstractNumId w:val="0"/>
  </w:num>
  <w:num w:numId="5" w16cid:durableId="490830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Vq7OJEhvIozR3UytpdVyRZM3AXACvIKuBHDsY43OG04sU1v8XrEuhSTffhM2BTEkjPxUZfiHrWb4In7rDzww==" w:salt="n5s3dqYCTIkPR1VJuag0l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6B7B"/>
    <w:rsid w:val="00017A46"/>
    <w:rsid w:val="00020388"/>
    <w:rsid w:val="00031FEC"/>
    <w:rsid w:val="00037A8F"/>
    <w:rsid w:val="00057F83"/>
    <w:rsid w:val="00065117"/>
    <w:rsid w:val="000755E2"/>
    <w:rsid w:val="00082C72"/>
    <w:rsid w:val="00097390"/>
    <w:rsid w:val="000B49F9"/>
    <w:rsid w:val="000C6AAF"/>
    <w:rsid w:val="000D58A5"/>
    <w:rsid w:val="000E25AD"/>
    <w:rsid w:val="00101422"/>
    <w:rsid w:val="0018307F"/>
    <w:rsid w:val="0021563E"/>
    <w:rsid w:val="002947E8"/>
    <w:rsid w:val="00295B89"/>
    <w:rsid w:val="002E30E0"/>
    <w:rsid w:val="00311731"/>
    <w:rsid w:val="0031599E"/>
    <w:rsid w:val="003379BD"/>
    <w:rsid w:val="003704C3"/>
    <w:rsid w:val="003A15FD"/>
    <w:rsid w:val="003B2EF9"/>
    <w:rsid w:val="003B70D9"/>
    <w:rsid w:val="003D356D"/>
    <w:rsid w:val="003E1B1B"/>
    <w:rsid w:val="003E29B2"/>
    <w:rsid w:val="003E3633"/>
    <w:rsid w:val="00423D29"/>
    <w:rsid w:val="004553BF"/>
    <w:rsid w:val="00464819"/>
    <w:rsid w:val="0047002C"/>
    <w:rsid w:val="0047130D"/>
    <w:rsid w:val="004B0216"/>
    <w:rsid w:val="004D379B"/>
    <w:rsid w:val="004F5581"/>
    <w:rsid w:val="005325D4"/>
    <w:rsid w:val="005508EB"/>
    <w:rsid w:val="0056414C"/>
    <w:rsid w:val="00581F82"/>
    <w:rsid w:val="00585A5E"/>
    <w:rsid w:val="00586073"/>
    <w:rsid w:val="005870CC"/>
    <w:rsid w:val="0059662D"/>
    <w:rsid w:val="005A70E2"/>
    <w:rsid w:val="005C03B7"/>
    <w:rsid w:val="00606B81"/>
    <w:rsid w:val="00621771"/>
    <w:rsid w:val="0064565E"/>
    <w:rsid w:val="00653309"/>
    <w:rsid w:val="0066331D"/>
    <w:rsid w:val="00683097"/>
    <w:rsid w:val="006B7A42"/>
    <w:rsid w:val="0077265C"/>
    <w:rsid w:val="00775C94"/>
    <w:rsid w:val="007A6FC3"/>
    <w:rsid w:val="007B3ADF"/>
    <w:rsid w:val="007B70D7"/>
    <w:rsid w:val="007F44C1"/>
    <w:rsid w:val="00847C05"/>
    <w:rsid w:val="00890FFD"/>
    <w:rsid w:val="008D1C36"/>
    <w:rsid w:val="00916D82"/>
    <w:rsid w:val="00927055"/>
    <w:rsid w:val="00934FD5"/>
    <w:rsid w:val="009B59D3"/>
    <w:rsid w:val="00A0455F"/>
    <w:rsid w:val="00A22DDB"/>
    <w:rsid w:val="00A448DD"/>
    <w:rsid w:val="00A60207"/>
    <w:rsid w:val="00A9405F"/>
    <w:rsid w:val="00AA7ED4"/>
    <w:rsid w:val="00AB1650"/>
    <w:rsid w:val="00AD441D"/>
    <w:rsid w:val="00B1786E"/>
    <w:rsid w:val="00B24943"/>
    <w:rsid w:val="00B47C64"/>
    <w:rsid w:val="00B64324"/>
    <w:rsid w:val="00B82162"/>
    <w:rsid w:val="00B83999"/>
    <w:rsid w:val="00C51A81"/>
    <w:rsid w:val="00CA71B6"/>
    <w:rsid w:val="00CA7C90"/>
    <w:rsid w:val="00CC7A80"/>
    <w:rsid w:val="00CF16BF"/>
    <w:rsid w:val="00D40FF6"/>
    <w:rsid w:val="00D52354"/>
    <w:rsid w:val="00D77F6A"/>
    <w:rsid w:val="00DA3974"/>
    <w:rsid w:val="00DF0FF9"/>
    <w:rsid w:val="00E02750"/>
    <w:rsid w:val="00E7205C"/>
    <w:rsid w:val="00E74C82"/>
    <w:rsid w:val="00E7643E"/>
    <w:rsid w:val="00E92D7A"/>
    <w:rsid w:val="00EA1297"/>
    <w:rsid w:val="00EA2F96"/>
    <w:rsid w:val="00EE5A08"/>
    <w:rsid w:val="00EE7B2E"/>
    <w:rsid w:val="00EF5F71"/>
    <w:rsid w:val="00F036C3"/>
    <w:rsid w:val="00F55DC4"/>
    <w:rsid w:val="00FD0019"/>
    <w:rsid w:val="00FE4F96"/>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E60164"/>
  <w15:docId w15:val="{5C66F143-1750-47F1-A2D9-D304125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65C"/>
    <w:pPr>
      <w:ind w:left="720"/>
      <w:contextualSpacing/>
    </w:pPr>
  </w:style>
  <w:style w:type="paragraph" w:styleId="BalloonText">
    <w:name w:val="Balloon Text"/>
    <w:basedOn w:val="Normal"/>
    <w:link w:val="BalloonTextChar"/>
    <w:semiHidden/>
    <w:unhideWhenUsed/>
    <w:rsid w:val="00DA3974"/>
    <w:rPr>
      <w:rFonts w:ascii="Segoe UI" w:hAnsi="Segoe UI" w:cs="Segoe UI"/>
      <w:sz w:val="18"/>
      <w:szCs w:val="18"/>
    </w:rPr>
  </w:style>
  <w:style w:type="character" w:customStyle="1" w:styleId="BalloonTextChar">
    <w:name w:val="Balloon Text Char"/>
    <w:basedOn w:val="DefaultParagraphFont"/>
    <w:link w:val="BalloonText"/>
    <w:semiHidden/>
    <w:rsid w:val="00DA3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2085</Words>
  <Characters>11764</Characters>
  <Application>Microsoft Office Word</Application>
  <DocSecurity>0</DocSecurity>
  <Lines>255</Lines>
  <Paragraphs>189</Paragraphs>
  <ScaleCrop>false</ScaleCrop>
  <HeadingPairs>
    <vt:vector size="2" baseType="variant">
      <vt:variant>
        <vt:lpstr>Title</vt:lpstr>
      </vt:variant>
      <vt:variant>
        <vt:i4>1</vt:i4>
      </vt:variant>
    </vt:vector>
  </HeadingPairs>
  <TitlesOfParts>
    <vt:vector size="1" baseType="lpstr">
      <vt:lpstr>Informed Consent for Medication, Lamictal</vt:lpstr>
    </vt:vector>
  </TitlesOfParts>
  <Manager>Client Rights</Manager>
  <Company>All DHS</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Lamictal</dc:title>
  <dc:creator>WI DHS</dc:creator>
  <cp:keywords>f24277, dde4277, dctf4277, informed consent, medication</cp:keywords>
  <cp:lastModifiedBy>Smith, Hilary J - DHS</cp:lastModifiedBy>
  <cp:revision>3</cp:revision>
  <cp:lastPrinted>2021-05-13T13:38:00Z</cp:lastPrinted>
  <dcterms:created xsi:type="dcterms:W3CDTF">2024-05-06T14:01:00Z</dcterms:created>
  <dcterms:modified xsi:type="dcterms:W3CDTF">2024-05-06T14:01:00Z</dcterms:modified>
</cp:coreProperties>
</file>