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3BF3BEE4"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BE3A54">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BE3A54">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BE3A54">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BE3A54">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BE3A54">
        <w:trPr>
          <w:cantSplit/>
        </w:trPr>
        <w:tc>
          <w:tcPr>
            <w:tcW w:w="3168" w:type="dxa"/>
            <w:tcBorders>
              <w:top w:val="single" w:sz="4" w:space="0" w:color="auto"/>
              <w:left w:val="nil"/>
              <w:bottom w:val="single" w:sz="4" w:space="0" w:color="auto"/>
            </w:tcBorders>
            <w:vAlign w:val="center"/>
          </w:tcPr>
          <w:p w14:paraId="7195E3DB" w14:textId="77777777" w:rsidR="00BE3A54" w:rsidRPr="00BE3A54" w:rsidRDefault="00BE3A54" w:rsidP="00BE3A54">
            <w:pPr>
              <w:rPr>
                <w:sz w:val="22"/>
              </w:rPr>
            </w:pPr>
            <w:r w:rsidRPr="00BE3A54">
              <w:rPr>
                <w:sz w:val="22"/>
              </w:rPr>
              <w:t>Antipsychotic – First Generation</w:t>
            </w:r>
          </w:p>
          <w:p w14:paraId="1E5342B2" w14:textId="77777777" w:rsidR="00BE3A54" w:rsidRPr="00BE3A54" w:rsidRDefault="00BE3A54" w:rsidP="00BE3A54">
            <w:pPr>
              <w:rPr>
                <w:sz w:val="22"/>
              </w:rPr>
            </w:pPr>
            <w:r w:rsidRPr="00BE3A54">
              <w:rPr>
                <w:sz w:val="22"/>
              </w:rPr>
              <w:t>(Typical); Phenothiazine</w:t>
            </w:r>
          </w:p>
          <w:p w14:paraId="3939FA54" w14:textId="7B325D22" w:rsidR="003379BD" w:rsidRDefault="00BE3A54" w:rsidP="00BE3A54">
            <w:pPr>
              <w:rPr>
                <w:sz w:val="22"/>
              </w:rPr>
            </w:pPr>
            <w:r w:rsidRPr="00BE3A54">
              <w:rPr>
                <w:sz w:val="22"/>
              </w:rPr>
              <w:t>Derivative</w:t>
            </w:r>
          </w:p>
        </w:tc>
        <w:tc>
          <w:tcPr>
            <w:tcW w:w="3420" w:type="dxa"/>
            <w:gridSpan w:val="5"/>
            <w:tcBorders>
              <w:top w:val="single" w:sz="4" w:space="0" w:color="auto"/>
              <w:bottom w:val="single" w:sz="4" w:space="0" w:color="auto"/>
              <w:right w:val="nil"/>
            </w:tcBorders>
          </w:tcPr>
          <w:p w14:paraId="7469D618" w14:textId="77777777" w:rsidR="00BE3A54" w:rsidRPr="00BE3A54" w:rsidRDefault="00BE3A54" w:rsidP="00BE3A54">
            <w:pPr>
              <w:rPr>
                <w:sz w:val="22"/>
              </w:rPr>
            </w:pPr>
            <w:proofErr w:type="spellStart"/>
            <w:r w:rsidRPr="00BE3A54">
              <w:rPr>
                <w:sz w:val="22"/>
              </w:rPr>
              <w:t>Prolixin</w:t>
            </w:r>
            <w:proofErr w:type="spellEnd"/>
            <w:r w:rsidRPr="00BE3A54">
              <w:rPr>
                <w:sz w:val="22"/>
              </w:rPr>
              <w:t>®</w:t>
            </w:r>
          </w:p>
          <w:p w14:paraId="1B473C79" w14:textId="77777777" w:rsidR="00BE3A54" w:rsidRPr="00BE3A54" w:rsidRDefault="00BE3A54" w:rsidP="00BE3A54">
            <w:pPr>
              <w:rPr>
                <w:sz w:val="22"/>
              </w:rPr>
            </w:pPr>
            <w:r w:rsidRPr="00BE3A54">
              <w:rPr>
                <w:sz w:val="22"/>
              </w:rPr>
              <w:t xml:space="preserve">(fluphenazine hydrochloride) </w:t>
            </w:r>
          </w:p>
          <w:p w14:paraId="16E7BB36" w14:textId="77777777" w:rsidR="00BE3A54" w:rsidRPr="00BE3A54" w:rsidRDefault="00BE3A54" w:rsidP="00BE3A54">
            <w:pPr>
              <w:rPr>
                <w:sz w:val="22"/>
              </w:rPr>
            </w:pPr>
            <w:proofErr w:type="spellStart"/>
            <w:r w:rsidRPr="00BE3A54">
              <w:rPr>
                <w:sz w:val="22"/>
              </w:rPr>
              <w:t>Prolixin</w:t>
            </w:r>
            <w:proofErr w:type="spellEnd"/>
            <w:r w:rsidRPr="00BE3A54">
              <w:rPr>
                <w:sz w:val="22"/>
              </w:rPr>
              <w:t xml:space="preserve"> Decanoate® </w:t>
            </w:r>
          </w:p>
          <w:p w14:paraId="7A26C4B6" w14:textId="5305C482" w:rsidR="003379BD" w:rsidRDefault="00BE3A54" w:rsidP="00BE3A54">
            <w:pPr>
              <w:tabs>
                <w:tab w:val="left" w:pos="702"/>
                <w:tab w:val="left" w:pos="882"/>
                <w:tab w:val="left" w:pos="1152"/>
                <w:tab w:val="left" w:pos="1602"/>
              </w:tabs>
              <w:rPr>
                <w:sz w:val="22"/>
              </w:rPr>
            </w:pPr>
            <w:r w:rsidRPr="00BE3A54">
              <w:rPr>
                <w:sz w:val="22"/>
              </w:rPr>
              <w:t xml:space="preserve">(fluphenazine </w:t>
            </w:r>
            <w:proofErr w:type="gramStart"/>
            <w:r w:rsidRPr="00BE3A54">
              <w:rPr>
                <w:sz w:val="22"/>
              </w:rPr>
              <w:t>decanoate )</w:t>
            </w:r>
            <w:proofErr w:type="gramEnd"/>
          </w:p>
        </w:tc>
        <w:tc>
          <w:tcPr>
            <w:tcW w:w="3420" w:type="dxa"/>
            <w:gridSpan w:val="3"/>
            <w:tcBorders>
              <w:top w:val="single" w:sz="4" w:space="0" w:color="auto"/>
              <w:bottom w:val="single" w:sz="4" w:space="0" w:color="auto"/>
              <w:right w:val="nil"/>
            </w:tcBorders>
            <w:vAlign w:val="center"/>
          </w:tcPr>
          <w:p w14:paraId="68DFFFC8" w14:textId="77777777" w:rsidR="00BE3A54" w:rsidRPr="00BE3A54" w:rsidRDefault="00BE3A54" w:rsidP="00BE3A54">
            <w:pPr>
              <w:tabs>
                <w:tab w:val="left" w:pos="702"/>
                <w:tab w:val="left" w:pos="882"/>
                <w:tab w:val="left" w:pos="1152"/>
                <w:tab w:val="left" w:pos="1602"/>
              </w:tabs>
              <w:rPr>
                <w:sz w:val="22"/>
              </w:rPr>
            </w:pPr>
            <w:r w:rsidRPr="00BE3A54">
              <w:rPr>
                <w:sz w:val="22"/>
              </w:rPr>
              <w:t>Oral: 2.5 mg to 40 mg per day</w:t>
            </w:r>
          </w:p>
          <w:p w14:paraId="74649B42" w14:textId="77777777" w:rsidR="00BE3A54" w:rsidRPr="00BE3A54" w:rsidRDefault="00BE3A54" w:rsidP="00BE3A54">
            <w:pPr>
              <w:tabs>
                <w:tab w:val="left" w:pos="702"/>
                <w:tab w:val="left" w:pos="882"/>
                <w:tab w:val="left" w:pos="1152"/>
                <w:tab w:val="left" w:pos="1602"/>
              </w:tabs>
              <w:rPr>
                <w:sz w:val="22"/>
              </w:rPr>
            </w:pPr>
            <w:r w:rsidRPr="00BE3A54">
              <w:rPr>
                <w:sz w:val="22"/>
              </w:rPr>
              <w:t>Short-acting Injection: 1.25 mg to 10mg per day</w:t>
            </w:r>
          </w:p>
          <w:p w14:paraId="3C5583EA" w14:textId="52A519A1" w:rsidR="003379BD" w:rsidRDefault="00BE3A54" w:rsidP="00BE3A54">
            <w:pPr>
              <w:tabs>
                <w:tab w:val="left" w:pos="702"/>
                <w:tab w:val="left" w:pos="882"/>
                <w:tab w:val="left" w:pos="1152"/>
                <w:tab w:val="left" w:pos="1602"/>
              </w:tabs>
              <w:rPr>
                <w:sz w:val="22"/>
              </w:rPr>
            </w:pPr>
            <w:r w:rsidRPr="00BE3A54">
              <w:rPr>
                <w:sz w:val="22"/>
              </w:rPr>
              <w:t>Decanoate Injection: 3.125 mg to 100 mg every one to three weeks</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BE3A54">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A27D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A27D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A27D7">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BE3A54">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BE3A54">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BE3A54">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BE3A54">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BE3A54">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BE3A54">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BE3A54">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BE3A54">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BE3A54">
            <w:pPr>
              <w:pStyle w:val="Heading4"/>
              <w:keepNext w:val="0"/>
              <w:tabs>
                <w:tab w:val="left" w:pos="540"/>
              </w:tabs>
              <w:spacing w:before="0"/>
              <w:jc w:val="left"/>
            </w:pPr>
          </w:p>
        </w:tc>
      </w:tr>
      <w:tr w:rsidR="003379BD" w14:paraId="149986D8" w14:textId="77777777" w:rsidTr="00BE3A54">
        <w:trPr>
          <w:cantSplit/>
          <w:trHeight w:hRule="exact" w:val="240"/>
        </w:trPr>
        <w:tc>
          <w:tcPr>
            <w:tcW w:w="11448" w:type="dxa"/>
            <w:gridSpan w:val="10"/>
            <w:tcBorders>
              <w:top w:val="nil"/>
              <w:left w:val="nil"/>
              <w:bottom w:val="nil"/>
              <w:right w:val="nil"/>
            </w:tcBorders>
          </w:tcPr>
          <w:p w14:paraId="2A62350A" w14:textId="77777777" w:rsidR="003379BD" w:rsidRDefault="003379BD" w:rsidP="00BE3A54">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BE3A54">
        <w:trPr>
          <w:cantSplit/>
          <w:trHeight w:val="288"/>
        </w:trPr>
        <w:tc>
          <w:tcPr>
            <w:tcW w:w="3816" w:type="dxa"/>
            <w:gridSpan w:val="2"/>
            <w:tcBorders>
              <w:top w:val="nil"/>
              <w:left w:val="nil"/>
              <w:bottom w:val="nil"/>
              <w:right w:val="nil"/>
            </w:tcBorders>
            <w:vAlign w:val="center"/>
          </w:tcPr>
          <w:p w14:paraId="60D6C783" w14:textId="77777777" w:rsidR="003379BD" w:rsidRDefault="003379BD" w:rsidP="00BE3A54">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A27D7">
              <w:rPr>
                <w:b w:val="0"/>
              </w:rPr>
            </w:r>
            <w:r w:rsidR="004A27D7">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BE3A54">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A27D7">
              <w:rPr>
                <w:b w:val="0"/>
              </w:rPr>
            </w:r>
            <w:r w:rsidR="004A27D7">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BE3A54">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A27D7">
              <w:rPr>
                <w:b w:val="0"/>
              </w:rPr>
            </w:r>
            <w:r w:rsidR="004A27D7">
              <w:rPr>
                <w:b w:val="0"/>
              </w:rPr>
              <w:fldChar w:fldCharType="separate"/>
            </w:r>
            <w:r>
              <w:rPr>
                <w:b w:val="0"/>
              </w:rPr>
              <w:fldChar w:fldCharType="end"/>
            </w:r>
            <w:bookmarkEnd w:id="19"/>
            <w:r>
              <w:rPr>
                <w:b w:val="0"/>
              </w:rPr>
              <w:t xml:space="preserve"> Social Functioning</w:t>
            </w:r>
          </w:p>
        </w:tc>
      </w:tr>
      <w:tr w:rsidR="003379BD" w14:paraId="68F8D37D" w14:textId="77777777" w:rsidTr="00BE3A54">
        <w:trPr>
          <w:cantSplit/>
          <w:trHeight w:val="240"/>
        </w:trPr>
        <w:tc>
          <w:tcPr>
            <w:tcW w:w="3816" w:type="dxa"/>
            <w:gridSpan w:val="2"/>
            <w:tcBorders>
              <w:top w:val="nil"/>
              <w:left w:val="nil"/>
              <w:bottom w:val="nil"/>
              <w:right w:val="nil"/>
            </w:tcBorders>
          </w:tcPr>
          <w:p w14:paraId="5B965989" w14:textId="77777777" w:rsidR="003379BD" w:rsidRDefault="003379BD" w:rsidP="00BE3A54">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BE3A54">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BE3A54">
            <w:pPr>
              <w:pStyle w:val="Heading4"/>
              <w:keepNext w:val="0"/>
              <w:tabs>
                <w:tab w:val="left" w:pos="540"/>
              </w:tabs>
              <w:jc w:val="left"/>
              <w:rPr>
                <w:b w:val="0"/>
              </w:rPr>
            </w:pPr>
          </w:p>
        </w:tc>
      </w:tr>
      <w:tr w:rsidR="003379BD" w14:paraId="59DCD8B7" w14:textId="77777777" w:rsidTr="00BE3A54">
        <w:trPr>
          <w:cantSplit/>
          <w:trHeight w:val="192"/>
        </w:trPr>
        <w:tc>
          <w:tcPr>
            <w:tcW w:w="5724" w:type="dxa"/>
            <w:gridSpan w:val="4"/>
            <w:tcBorders>
              <w:top w:val="nil"/>
              <w:left w:val="nil"/>
              <w:bottom w:val="nil"/>
              <w:right w:val="nil"/>
            </w:tcBorders>
          </w:tcPr>
          <w:p w14:paraId="2CD65534" w14:textId="77777777" w:rsidR="003379BD" w:rsidRDefault="003379BD" w:rsidP="00BE3A54">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BE3A54">
            <w:pPr>
              <w:pStyle w:val="Heading4"/>
              <w:keepNext w:val="0"/>
              <w:tabs>
                <w:tab w:val="left" w:pos="540"/>
              </w:tabs>
              <w:jc w:val="left"/>
              <w:rPr>
                <w:b w:val="0"/>
              </w:rPr>
            </w:pPr>
          </w:p>
        </w:tc>
      </w:tr>
      <w:bookmarkStart w:id="20" w:name="_Hlk151783589"/>
      <w:tr w:rsidR="003379BD" w14:paraId="1475C41A" w14:textId="77777777" w:rsidTr="00BE3A54">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BE3A54">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A27D7">
              <w:rPr>
                <w:b w:val="0"/>
              </w:rPr>
            </w:r>
            <w:r w:rsidR="004A27D7">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BE3A54">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A27D7">
              <w:rPr>
                <w:b w:val="0"/>
              </w:rPr>
            </w:r>
            <w:r w:rsidR="004A27D7">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BE3A54">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BE3A54">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A27D7">
              <w:rPr>
                <w:b w:val="0"/>
              </w:rPr>
            </w:r>
            <w:r w:rsidR="004A27D7">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BE3A54">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A27D7">
              <w:rPr>
                <w:b w:val="0"/>
              </w:rPr>
            </w:r>
            <w:r w:rsidR="004A27D7">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BE3A54">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BE3A54">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A27D7">
              <w:rPr>
                <w:b w:val="0"/>
              </w:rPr>
            </w:r>
            <w:r w:rsidR="004A27D7">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BE3A54">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A27D7">
              <w:rPr>
                <w:b w:val="0"/>
              </w:rPr>
            </w:r>
            <w:r w:rsidR="004A27D7">
              <w:rPr>
                <w:b w:val="0"/>
              </w:rPr>
              <w:fldChar w:fldCharType="separate"/>
            </w:r>
            <w:r>
              <w:rPr>
                <w:b w:val="0"/>
              </w:rPr>
              <w:fldChar w:fldCharType="end"/>
            </w:r>
            <w:bookmarkEnd w:id="26"/>
            <w:r>
              <w:rPr>
                <w:b w:val="0"/>
              </w:rPr>
              <w:t xml:space="preserve"> Risk of harm to self or others</w:t>
            </w:r>
          </w:p>
        </w:tc>
      </w:tr>
      <w:tr w:rsidR="003379BD" w14:paraId="2967296F" w14:textId="77777777" w:rsidTr="00BE3A54">
        <w:trPr>
          <w:cantSplit/>
          <w:trHeight w:val="192"/>
        </w:trPr>
        <w:tc>
          <w:tcPr>
            <w:tcW w:w="5724" w:type="dxa"/>
            <w:gridSpan w:val="4"/>
            <w:tcBorders>
              <w:top w:val="nil"/>
              <w:left w:val="nil"/>
              <w:bottom w:val="nil"/>
              <w:right w:val="nil"/>
            </w:tcBorders>
            <w:vAlign w:val="center"/>
          </w:tcPr>
          <w:p w14:paraId="77DEEE18" w14:textId="77777777" w:rsidR="003379BD" w:rsidRDefault="00031FEC" w:rsidP="00BE3A54">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A27D7">
              <w:rPr>
                <w:b w:val="0"/>
              </w:rPr>
            </w:r>
            <w:r w:rsidR="004A27D7">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BE3A54">
            <w:pPr>
              <w:pStyle w:val="Heading4"/>
              <w:keepNext w:val="0"/>
              <w:tabs>
                <w:tab w:val="left" w:pos="540"/>
              </w:tabs>
              <w:spacing w:before="0"/>
              <w:jc w:val="left"/>
              <w:rPr>
                <w:b w:val="0"/>
              </w:rPr>
            </w:pPr>
          </w:p>
        </w:tc>
      </w:tr>
      <w:bookmarkEnd w:id="20"/>
    </w:tbl>
    <w:p w14:paraId="28DC8280" w14:textId="1C7C5341"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BE3A54">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A3D7D14" w:rsidR="003379BD" w:rsidRDefault="003379BD" w:rsidP="006A6CDD">
            <w:pPr>
              <w:rPr>
                <w:rFonts w:ascii="Arial" w:hAnsi="Arial"/>
                <w:sz w:val="18"/>
              </w:rPr>
            </w:pPr>
            <w:r>
              <w:rPr>
                <w:rFonts w:ascii="Arial" w:hAnsi="Arial"/>
                <w:sz w:val="18"/>
              </w:rPr>
              <w:t xml:space="preserve">Medication: </w:t>
            </w:r>
            <w:proofErr w:type="spellStart"/>
            <w:r w:rsidR="00BE3A54" w:rsidRPr="00BE3A54">
              <w:rPr>
                <w:sz w:val="22"/>
              </w:rPr>
              <w:t>Moditen</w:t>
            </w:r>
            <w:proofErr w:type="spellEnd"/>
            <w:r w:rsidR="00BE3A54" w:rsidRPr="00BE3A54">
              <w:rPr>
                <w:sz w:val="22"/>
              </w:rPr>
              <w:t xml:space="preserve">®, </w:t>
            </w:r>
            <w:proofErr w:type="spellStart"/>
            <w:r w:rsidR="00BE3A54" w:rsidRPr="00BE3A54">
              <w:rPr>
                <w:sz w:val="22"/>
              </w:rPr>
              <w:t>Modecate</w:t>
            </w:r>
            <w:proofErr w:type="spellEnd"/>
            <w:r w:rsidR="00BE3A54" w:rsidRPr="00BE3A54">
              <w:rPr>
                <w:sz w:val="22"/>
              </w:rPr>
              <w:t>® – (fluphenazine)</w:t>
            </w:r>
          </w:p>
        </w:tc>
      </w:tr>
      <w:tr w:rsidR="00BE3A54" w14:paraId="6A9A47C7" w14:textId="77777777" w:rsidTr="00BE3A54">
        <w:trPr>
          <w:cantSplit/>
          <w:trHeight w:hRule="exact" w:val="1440"/>
        </w:trPr>
        <w:tc>
          <w:tcPr>
            <w:tcW w:w="11448" w:type="dxa"/>
            <w:gridSpan w:val="2"/>
            <w:tcBorders>
              <w:top w:val="nil"/>
              <w:left w:val="nil"/>
              <w:bottom w:val="single" w:sz="4" w:space="0" w:color="auto"/>
              <w:right w:val="nil"/>
            </w:tcBorders>
          </w:tcPr>
          <w:p w14:paraId="2707A038" w14:textId="77777777" w:rsidR="00BE3A54" w:rsidRDefault="00BE3A54" w:rsidP="00287E5B">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BE3A54" w14:paraId="64648577" w14:textId="77777777" w:rsidTr="00BE3A54">
        <w:trPr>
          <w:cantSplit/>
          <w:trHeight w:hRule="exact" w:val="440"/>
        </w:trPr>
        <w:tc>
          <w:tcPr>
            <w:tcW w:w="11448" w:type="dxa"/>
            <w:gridSpan w:val="2"/>
            <w:tcBorders>
              <w:top w:val="single" w:sz="4" w:space="0" w:color="auto"/>
              <w:left w:val="nil"/>
              <w:bottom w:val="single" w:sz="4" w:space="0" w:color="auto"/>
              <w:right w:val="nil"/>
            </w:tcBorders>
          </w:tcPr>
          <w:p w14:paraId="3BC0896A" w14:textId="77777777" w:rsidR="00BE3A54" w:rsidRDefault="00BE3A54" w:rsidP="00287E5B">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BE3A54">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BE3A54">
        <w:trPr>
          <w:cantSplit/>
          <w:trHeight w:val="539"/>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E29FD75"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BE3A54" w:rsidRPr="00BE3A54">
              <w:rPr>
                <w:rFonts w:cs="Arial"/>
                <w:b w:val="0"/>
                <w:bCs/>
                <w:sz w:val="18"/>
                <w:szCs w:val="18"/>
              </w:rPr>
              <w:t>hypotension</w:t>
            </w:r>
            <w:proofErr w:type="gramEnd"/>
            <w:r w:rsidR="00BE3A54" w:rsidRPr="00BE3A54">
              <w:rPr>
                <w:rFonts w:cs="Arial"/>
                <w:b w:val="0"/>
                <w:bCs/>
                <w:sz w:val="18"/>
                <w:szCs w:val="18"/>
              </w:rPr>
              <w:t xml:space="preserve"> (low blood pressure), extrapyramidal disease, tardive dyskinesia</w:t>
            </w:r>
          </w:p>
        </w:tc>
      </w:tr>
      <w:tr w:rsidR="003379BD" w14:paraId="15326E25" w14:textId="77777777" w:rsidTr="00BE3A54">
        <w:trPr>
          <w:cantSplit/>
          <w:trHeight w:val="533"/>
        </w:trPr>
        <w:tc>
          <w:tcPr>
            <w:tcW w:w="11448" w:type="dxa"/>
            <w:gridSpan w:val="2"/>
            <w:tcBorders>
              <w:top w:val="nil"/>
              <w:left w:val="nil"/>
              <w:bottom w:val="nil"/>
              <w:right w:val="nil"/>
            </w:tcBorders>
          </w:tcPr>
          <w:p w14:paraId="1BCFFD3B" w14:textId="5273F730"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BE3A54" w:rsidRPr="00BE3A54">
              <w:rPr>
                <w:rFonts w:ascii="Arial" w:hAnsi="Arial" w:cs="Arial"/>
                <w:sz w:val="18"/>
                <w:szCs w:val="18"/>
              </w:rPr>
              <w:t>prolonged</w:t>
            </w:r>
            <w:proofErr w:type="gramEnd"/>
            <w:r w:rsidR="00BE3A54" w:rsidRPr="00BE3A54">
              <w:rPr>
                <w:rFonts w:ascii="Arial" w:hAnsi="Arial" w:cs="Arial"/>
                <w:sz w:val="18"/>
                <w:szCs w:val="18"/>
              </w:rPr>
              <w:t xml:space="preserve"> QT interval, paralytic ileus, agranulocytosis, leukopenia, neutropenia, thrombocytopenia, liver damage, systemic lupus erythematosus</w:t>
            </w:r>
          </w:p>
        </w:tc>
      </w:tr>
      <w:tr w:rsidR="003379BD" w14:paraId="16ADBA3D" w14:textId="77777777" w:rsidTr="00BE3A54">
        <w:trPr>
          <w:cantSplit/>
          <w:trHeight w:val="144"/>
        </w:trPr>
        <w:tc>
          <w:tcPr>
            <w:tcW w:w="11448" w:type="dxa"/>
            <w:gridSpan w:val="2"/>
            <w:tcBorders>
              <w:top w:val="nil"/>
              <w:left w:val="nil"/>
              <w:bottom w:val="nil"/>
              <w:right w:val="nil"/>
            </w:tcBorders>
          </w:tcPr>
          <w:p w14:paraId="126A3FE2" w14:textId="77777777" w:rsidR="003379BD" w:rsidRDefault="003379BD" w:rsidP="00C137A4">
            <w:pPr>
              <w:rPr>
                <w:rFonts w:ascii="Arial" w:hAnsi="Arial" w:cs="Arial"/>
                <w:sz w:val="18"/>
                <w:szCs w:val="18"/>
              </w:rPr>
            </w:pPr>
            <w:r>
              <w:rPr>
                <w:rFonts w:ascii="Arial" w:hAnsi="Arial"/>
                <w:b/>
                <w:sz w:val="18"/>
              </w:rPr>
              <w:t>Rare Side Effects</w:t>
            </w:r>
            <w:r>
              <w:t xml:space="preserve">  </w:t>
            </w:r>
            <w:r w:rsidR="00BE3A54" w:rsidRPr="00BE3A54">
              <w:rPr>
                <w:rFonts w:ascii="Arial" w:hAnsi="Arial" w:cs="Arial"/>
                <w:sz w:val="18"/>
                <w:szCs w:val="18"/>
              </w:rPr>
              <w:t xml:space="preserve"> neuroleptic malignant syndrome (symptoms: severe confusion or coma; difficult or fast breathing; drooling; fast heartbeat; high/low irregular blood pressure; increased sweating; loss of bladder control; severe muscle stiffness; trembling or shaking; trouble with speaking or swallowing)</w:t>
            </w:r>
          </w:p>
          <w:p w14:paraId="4AB82D46" w14:textId="1FEE645C" w:rsidR="00BE3A54" w:rsidRPr="00BE3A54" w:rsidRDefault="00BE3A54" w:rsidP="00C137A4">
            <w:pPr>
              <w:rPr>
                <w:rFonts w:ascii="Arial" w:hAnsi="Arial" w:cs="Arial"/>
                <w:sz w:val="6"/>
                <w:szCs w:val="6"/>
              </w:rPr>
            </w:pPr>
          </w:p>
        </w:tc>
      </w:tr>
      <w:tr w:rsidR="003379BD" w14:paraId="0666E783" w14:textId="77777777" w:rsidTr="00BE3A54">
        <w:trPr>
          <w:trHeight w:val="576"/>
        </w:trPr>
        <w:tc>
          <w:tcPr>
            <w:tcW w:w="11448" w:type="dxa"/>
            <w:gridSpan w:val="2"/>
            <w:tcBorders>
              <w:top w:val="nil"/>
              <w:left w:val="nil"/>
              <w:bottom w:val="nil"/>
              <w:right w:val="nil"/>
            </w:tcBorders>
          </w:tcPr>
          <w:p w14:paraId="6512125B" w14:textId="77777777" w:rsidR="00BE3A54" w:rsidRDefault="003379BD" w:rsidP="00BE3A54">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4AED8368" w14:textId="6C5DC9C2" w:rsidR="00BE3A54" w:rsidRP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Precautions:</w:t>
            </w:r>
          </w:p>
          <w:p w14:paraId="14D70739"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 xml:space="preserve">Access: While coadministration of medication-assisted treatment drugs (MAT, </w:t>
            </w:r>
            <w:proofErr w:type="spellStart"/>
            <w:r w:rsidRPr="00BE3A54">
              <w:rPr>
                <w:rFonts w:ascii="Arial" w:hAnsi="Arial" w:cs="Arial"/>
                <w:snapToGrid w:val="0"/>
                <w:color w:val="000000"/>
                <w:sz w:val="18"/>
                <w:szCs w:val="18"/>
              </w:rPr>
              <w:t>eg</w:t>
            </w:r>
            <w:proofErr w:type="spellEnd"/>
            <w:r w:rsidRPr="00BE3A54">
              <w:rPr>
                <w:rFonts w:ascii="Arial" w:hAnsi="Arial" w:cs="Arial"/>
                <w:snapToGrid w:val="0"/>
                <w:color w:val="000000"/>
                <w:sz w:val="18"/>
                <w:szCs w:val="18"/>
              </w:rPr>
              <w:t>, methadone and buprenorphine) and benzodiazepines or other CNS depressants (including alcohol) may increase the possibility of harm, including overdose and death, concomitant therapy with MAT may be appropriate in some patients; if concomitant use is necessary, careful management and monitoring recommended.</w:t>
            </w:r>
          </w:p>
          <w:p w14:paraId="07CF3C42" w14:textId="77777777" w:rsidR="00BE3A54" w:rsidRPr="00BE3A54" w:rsidRDefault="00BE3A54" w:rsidP="00BE3A54">
            <w:pPr>
              <w:rPr>
                <w:rFonts w:ascii="Arial" w:hAnsi="Arial" w:cs="Arial"/>
                <w:snapToGrid w:val="0"/>
                <w:color w:val="000000"/>
                <w:sz w:val="18"/>
                <w:szCs w:val="18"/>
              </w:rPr>
            </w:pPr>
          </w:p>
          <w:p w14:paraId="183CD267"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Cardiovascular: Use caution in patients with cardiovascular disease, including mitral insufficiency.</w:t>
            </w:r>
          </w:p>
          <w:p w14:paraId="31C4F60E" w14:textId="77777777" w:rsidR="00BE3A54" w:rsidRPr="00BE3A54" w:rsidRDefault="00BE3A54" w:rsidP="00BE3A54">
            <w:pPr>
              <w:rPr>
                <w:rFonts w:ascii="Arial" w:hAnsi="Arial" w:cs="Arial"/>
                <w:snapToGrid w:val="0"/>
                <w:color w:val="000000"/>
                <w:sz w:val="18"/>
                <w:szCs w:val="18"/>
              </w:rPr>
            </w:pPr>
          </w:p>
          <w:p w14:paraId="706071D6"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Concomitant use: Coadministration of central nervous system depressants, including antipsychotics, with opioids may result in profound sedation, respiratory depression, coma, or death. The addition of a sedating antipsychotic, including fluphenazine, to prescription opioids was associated with significantly higher risk of unintentional overdose within 30 days compared with nonsedating antipsychotics; consider a nonsedating antipsychotic whenever coadministration with opioids is required.</w:t>
            </w:r>
          </w:p>
          <w:p w14:paraId="2FB1EB7D" w14:textId="77777777" w:rsidR="00BE3A54" w:rsidRPr="00BE3A54" w:rsidRDefault="00BE3A54" w:rsidP="00BE3A54">
            <w:pPr>
              <w:rPr>
                <w:rFonts w:ascii="Arial" w:hAnsi="Arial" w:cs="Arial"/>
                <w:snapToGrid w:val="0"/>
                <w:color w:val="000000"/>
                <w:sz w:val="18"/>
                <w:szCs w:val="18"/>
              </w:rPr>
            </w:pPr>
          </w:p>
          <w:p w14:paraId="3EFC1654"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Endocrine and metabolic: Use caution in patients with pheochromocytoma.</w:t>
            </w:r>
          </w:p>
          <w:p w14:paraId="47935049" w14:textId="77777777" w:rsidR="00BE3A54" w:rsidRPr="00BE3A54" w:rsidRDefault="00BE3A54" w:rsidP="00BE3A54">
            <w:pPr>
              <w:rPr>
                <w:rFonts w:ascii="Arial" w:hAnsi="Arial" w:cs="Arial"/>
                <w:snapToGrid w:val="0"/>
                <w:color w:val="000000"/>
                <w:sz w:val="18"/>
                <w:szCs w:val="18"/>
              </w:rPr>
            </w:pPr>
          </w:p>
          <w:p w14:paraId="67F16A75"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Environmental exposure: Use caution in patients exposed to extreme heat or phosphorus insecticides.</w:t>
            </w:r>
          </w:p>
          <w:p w14:paraId="1E32DB95" w14:textId="77777777" w:rsidR="00BE3A54" w:rsidRPr="00BE3A54" w:rsidRDefault="00BE3A54" w:rsidP="00BE3A54">
            <w:pPr>
              <w:rPr>
                <w:rFonts w:ascii="Arial" w:hAnsi="Arial" w:cs="Arial"/>
                <w:snapToGrid w:val="0"/>
                <w:color w:val="000000"/>
                <w:sz w:val="18"/>
                <w:szCs w:val="18"/>
              </w:rPr>
            </w:pPr>
          </w:p>
          <w:p w14:paraId="338DF175"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Hematologic: Agranulocytosis, leukopenia, and neutropenia may occur, with increased risk in patients with preexisting low WBC or history of drug-induced leukopenia or neutropenia; monitoring recommended and discontinuation of therapy may be necessary.</w:t>
            </w:r>
          </w:p>
          <w:p w14:paraId="50A7086E" w14:textId="77777777" w:rsidR="00BE3A54" w:rsidRPr="00BE3A54" w:rsidRDefault="00BE3A54" w:rsidP="00BE3A54">
            <w:pPr>
              <w:rPr>
                <w:rFonts w:ascii="Arial" w:hAnsi="Arial" w:cs="Arial"/>
                <w:snapToGrid w:val="0"/>
                <w:color w:val="000000"/>
                <w:sz w:val="18"/>
                <w:szCs w:val="18"/>
              </w:rPr>
            </w:pPr>
          </w:p>
          <w:p w14:paraId="6774DF02"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Hepatic: Liver damage may occur with prolonged therapy; monitoring recommended.</w:t>
            </w:r>
          </w:p>
          <w:p w14:paraId="69C4070F" w14:textId="77777777" w:rsidR="00BE3A54" w:rsidRPr="00BE3A54" w:rsidRDefault="00BE3A54" w:rsidP="00BE3A54">
            <w:pPr>
              <w:rPr>
                <w:rFonts w:ascii="Arial" w:hAnsi="Arial" w:cs="Arial"/>
                <w:snapToGrid w:val="0"/>
                <w:color w:val="000000"/>
                <w:sz w:val="18"/>
                <w:szCs w:val="18"/>
              </w:rPr>
            </w:pPr>
          </w:p>
          <w:p w14:paraId="099C30D6"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Immunologic: Cross-sensitivity may occur in patients with previous phenothiazine hypersensitivity reactions including cholestatic jaundice, dermatoses, or other allergic reactions.</w:t>
            </w:r>
          </w:p>
          <w:p w14:paraId="2D6C5961" w14:textId="77777777" w:rsidR="00BE3A54" w:rsidRPr="00BE3A54" w:rsidRDefault="00BE3A54" w:rsidP="00BE3A54">
            <w:pPr>
              <w:rPr>
                <w:rFonts w:ascii="Arial" w:hAnsi="Arial" w:cs="Arial"/>
                <w:snapToGrid w:val="0"/>
                <w:color w:val="000000"/>
                <w:sz w:val="18"/>
                <w:szCs w:val="18"/>
              </w:rPr>
            </w:pPr>
          </w:p>
          <w:p w14:paraId="480A44CE"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Neurologic: Potentially irreversible tardive dyskinesia may occur; risk increased in elderly patients, especially elderly women, and with increased duration of treatment and total cumulative dose; consider discontinuation of treatment. Potentially fatal neuroleptic malignant syndrome has been reported in association with antipsychotic drugs; discontinue immediately if suspected. The mental and physical abilities required for driving a car or operating heavy machinery may be impaired. Use caution in patients with seizure disorder; grand mal convulsions have occurred.</w:t>
            </w:r>
          </w:p>
          <w:p w14:paraId="12287833" w14:textId="77777777" w:rsidR="00BE3A54" w:rsidRPr="00BE3A54" w:rsidRDefault="00BE3A54" w:rsidP="00BE3A54">
            <w:pPr>
              <w:rPr>
                <w:rFonts w:ascii="Arial" w:hAnsi="Arial" w:cs="Arial"/>
                <w:snapToGrid w:val="0"/>
                <w:color w:val="000000"/>
                <w:sz w:val="18"/>
                <w:szCs w:val="18"/>
              </w:rPr>
            </w:pPr>
          </w:p>
          <w:p w14:paraId="4CFE5C1E"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Ophthalmic: Pigmentary retinopathy, corneal deposits, and lenticular deposits may occur with prolonged therapy.</w:t>
            </w:r>
          </w:p>
          <w:p w14:paraId="53D3388F" w14:textId="77777777" w:rsidR="00BE3A54" w:rsidRPr="00BE3A54" w:rsidRDefault="00BE3A54" w:rsidP="00BE3A54">
            <w:pPr>
              <w:rPr>
                <w:rFonts w:ascii="Arial" w:hAnsi="Arial" w:cs="Arial"/>
                <w:snapToGrid w:val="0"/>
                <w:color w:val="000000"/>
                <w:sz w:val="18"/>
                <w:szCs w:val="18"/>
              </w:rPr>
            </w:pPr>
          </w:p>
          <w:p w14:paraId="5520B719"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Respiratory: Silent pneumonia may occur.</w:t>
            </w:r>
          </w:p>
          <w:p w14:paraId="24B07C11" w14:textId="77777777" w:rsidR="00BE3A54" w:rsidRPr="00BE3A54" w:rsidRDefault="00BE3A54" w:rsidP="00BE3A54">
            <w:pPr>
              <w:rPr>
                <w:rFonts w:ascii="Arial" w:hAnsi="Arial" w:cs="Arial"/>
                <w:snapToGrid w:val="0"/>
                <w:color w:val="000000"/>
                <w:sz w:val="18"/>
                <w:szCs w:val="18"/>
              </w:rPr>
            </w:pPr>
          </w:p>
          <w:p w14:paraId="631D2FDE" w14:textId="2A56209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 xml:space="preserve">Special populations (Beers Criteria): Avoid use due to an increased risk of cerebrovascular accident. Exceptions are used for schizophrenia, bipolar disorder, adjunctive treatment of major depressive disorder, or short-term use as antiemetic during chemotherapy. Avoid use for behavioral problems of dementia or delirium in elderly as antipsychotics may increase the rate of cognitive decline and mortality (unless nonpharmacological measures fail, and the patient is a threat to self or others). If use is required, consider periodic discontinuation to assess need and/or lowest effective dose. Avoid use in elderly patients with Parkinson's Disease as symptoms may worsen and in patients with a history of falls or fractures (unless safer alternatives are not available) due to risk for ataxia, impaired psychomotor performance, syncope or additional falls. If used, caution is advised, and monitoring is recommended as </w:t>
            </w:r>
            <w:proofErr w:type="gramStart"/>
            <w:r w:rsidRPr="00BE3A54">
              <w:rPr>
                <w:rFonts w:ascii="Arial" w:hAnsi="Arial" w:cs="Arial"/>
                <w:snapToGrid w:val="0"/>
                <w:color w:val="000000"/>
                <w:sz w:val="18"/>
                <w:szCs w:val="18"/>
              </w:rPr>
              <w:t>SIADH</w:t>
            </w:r>
            <w:proofErr w:type="gramEnd"/>
            <w:r w:rsidRPr="00BE3A54">
              <w:rPr>
                <w:rFonts w:ascii="Arial" w:hAnsi="Arial" w:cs="Arial"/>
                <w:snapToGrid w:val="0"/>
                <w:color w:val="000000"/>
                <w:sz w:val="18"/>
                <w:szCs w:val="18"/>
              </w:rPr>
              <w:t xml:space="preserve"> or hyponatremia may occur or be exacerbated. Avoid concomitant use of 3 or more CNS-active agents in any combination due to increased risk of falls.</w:t>
            </w:r>
          </w:p>
          <w:p w14:paraId="18C4BE1F" w14:textId="77777777" w:rsidR="00BE3A54" w:rsidRPr="00BE3A54" w:rsidRDefault="00BE3A54" w:rsidP="00BE3A54">
            <w:pPr>
              <w:rPr>
                <w:rFonts w:ascii="Arial" w:hAnsi="Arial" w:cs="Arial"/>
                <w:snapToGrid w:val="0"/>
                <w:color w:val="000000"/>
                <w:sz w:val="18"/>
                <w:szCs w:val="18"/>
              </w:rPr>
            </w:pPr>
          </w:p>
          <w:p w14:paraId="71C2462A" w14:textId="77777777" w:rsid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Special populations (KIDs List): Avoid in infants and use caution in children due to risk of acute dystonia (dyskinesia); increased risk of respiratory depression, extravasation, and death with IV use.</w:t>
            </w:r>
          </w:p>
          <w:p w14:paraId="7CC8D657" w14:textId="77777777" w:rsidR="00BE3A54" w:rsidRPr="00BE3A54" w:rsidRDefault="00BE3A54" w:rsidP="00BE3A54">
            <w:pPr>
              <w:rPr>
                <w:rFonts w:ascii="Arial" w:hAnsi="Arial" w:cs="Arial"/>
                <w:snapToGrid w:val="0"/>
                <w:color w:val="000000"/>
                <w:sz w:val="18"/>
                <w:szCs w:val="18"/>
              </w:rPr>
            </w:pPr>
          </w:p>
          <w:p w14:paraId="450AB663" w14:textId="77777777" w:rsidR="00BE3A54" w:rsidRP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 xml:space="preserve">Surgery: Hypotensive phenomena may occur in psychotic patients receiving large phenothiazine doses; monitoring recommended and reduced amounts of anesthetics or CNS depressants may be warranted. </w:t>
            </w:r>
          </w:p>
          <w:p w14:paraId="21CE678A" w14:textId="4703DAFE" w:rsidR="003379BD" w:rsidRPr="00BE3A54" w:rsidRDefault="003379BD" w:rsidP="006A6CDD">
            <w:pPr>
              <w:rPr>
                <w:rFonts w:ascii="Arial" w:hAnsi="Arial" w:cs="Arial"/>
                <w:bCs/>
                <w:sz w:val="12"/>
                <w:szCs w:val="12"/>
              </w:rPr>
            </w:pPr>
          </w:p>
        </w:tc>
      </w:tr>
      <w:tr w:rsidR="003379BD" w14:paraId="1ABCDE1C" w14:textId="77777777" w:rsidTr="00BE3A54">
        <w:trPr>
          <w:cantSplit/>
          <w:trHeight w:val="576"/>
        </w:trPr>
        <w:tc>
          <w:tcPr>
            <w:tcW w:w="11448" w:type="dxa"/>
            <w:gridSpan w:val="2"/>
            <w:tcBorders>
              <w:top w:val="nil"/>
              <w:left w:val="nil"/>
              <w:bottom w:val="nil"/>
              <w:right w:val="nil"/>
            </w:tcBorders>
          </w:tcPr>
          <w:p w14:paraId="5523CC4E" w14:textId="77777777" w:rsidR="00BE3A54" w:rsidRDefault="003379BD" w:rsidP="00BE3A54">
            <w:pPr>
              <w:rPr>
                <w:rFonts w:ascii="Arial" w:hAnsi="Arial"/>
                <w:b/>
                <w:snapToGrid w:val="0"/>
                <w:color w:val="000000"/>
                <w:sz w:val="16"/>
              </w:rPr>
            </w:pPr>
            <w:r>
              <w:rPr>
                <w:rFonts w:ascii="Arial" w:hAnsi="Arial"/>
                <w:b/>
                <w:snapToGrid w:val="0"/>
                <w:color w:val="000000"/>
                <w:sz w:val="18"/>
              </w:rPr>
              <w:lastRenderedPageBreak/>
              <w:t xml:space="preserve">Warning </w:t>
            </w:r>
            <w:r>
              <w:rPr>
                <w:rFonts w:ascii="Arial" w:hAnsi="Arial"/>
                <w:b/>
                <w:snapToGrid w:val="0"/>
                <w:color w:val="000000"/>
                <w:sz w:val="16"/>
              </w:rPr>
              <w:t xml:space="preserve"> </w:t>
            </w:r>
          </w:p>
          <w:p w14:paraId="0ADC1D7D" w14:textId="18216B73" w:rsidR="00BE3A54" w:rsidRP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 xml:space="preserve">Black Box Warning: </w:t>
            </w:r>
          </w:p>
          <w:p w14:paraId="396406DF" w14:textId="77777777" w:rsidR="00BE3A54" w:rsidRP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 xml:space="preserve">Fluphenazine Hydrochloride: Injection (solution), Oral (elixir; tablet) </w:t>
            </w:r>
          </w:p>
          <w:p w14:paraId="4D687745" w14:textId="77777777" w:rsidR="00BE3A54" w:rsidRPr="00BE3A54" w:rsidRDefault="00BE3A54" w:rsidP="00BE3A54">
            <w:pPr>
              <w:rPr>
                <w:rFonts w:ascii="Arial" w:hAnsi="Arial" w:cs="Arial"/>
                <w:snapToGrid w:val="0"/>
                <w:color w:val="000000"/>
                <w:sz w:val="18"/>
                <w:szCs w:val="18"/>
              </w:rPr>
            </w:pPr>
            <w:r w:rsidRPr="00BE3A54">
              <w:rPr>
                <w:rFonts w:ascii="Arial" w:hAnsi="Arial" w:cs="Arial"/>
                <w:snapToGrid w:val="0"/>
                <w:color w:val="000000"/>
                <w:sz w:val="18"/>
                <w:szCs w:val="18"/>
              </w:rPr>
              <w:t>Elderly patients with dementia-related psychosis treated with antipsychotic drugs are at an increased risk of death. Analyses of seventeen placebo-controlled trials (modal duration of 10 weeks), largely in patients taking atypical antipsychotic drugs, revealed a risk of death in drug-treated patients of between 1.6 to 1.7 times the risk of death in placebo-treated patients. Over the course of a typical 10-week controlled trial, the rate of death in drug-treated patients was about 4.5%, compared to a rate of about 2.6% in the placebo group. Although the causes of death were varied, most of the deaths appeared to be either cardiovascular (</w:t>
            </w:r>
            <w:proofErr w:type="spellStart"/>
            <w:r w:rsidRPr="00BE3A54">
              <w:rPr>
                <w:rFonts w:ascii="Arial" w:hAnsi="Arial" w:cs="Arial"/>
                <w:snapToGrid w:val="0"/>
                <w:color w:val="000000"/>
                <w:sz w:val="18"/>
                <w:szCs w:val="18"/>
              </w:rPr>
              <w:t>eg</w:t>
            </w:r>
            <w:proofErr w:type="spellEnd"/>
            <w:r w:rsidRPr="00BE3A54">
              <w:rPr>
                <w:rFonts w:ascii="Arial" w:hAnsi="Arial" w:cs="Arial"/>
                <w:snapToGrid w:val="0"/>
                <w:color w:val="000000"/>
                <w:sz w:val="18"/>
                <w:szCs w:val="18"/>
              </w:rPr>
              <w:t>, heart failure, sudden death) or infectious (</w:t>
            </w:r>
            <w:proofErr w:type="spellStart"/>
            <w:r w:rsidRPr="00BE3A54">
              <w:rPr>
                <w:rFonts w:ascii="Arial" w:hAnsi="Arial" w:cs="Arial"/>
                <w:snapToGrid w:val="0"/>
                <w:color w:val="000000"/>
                <w:sz w:val="18"/>
                <w:szCs w:val="18"/>
              </w:rPr>
              <w:t>eg</w:t>
            </w:r>
            <w:proofErr w:type="spellEnd"/>
            <w:r w:rsidRPr="00BE3A54">
              <w:rPr>
                <w:rFonts w:ascii="Arial" w:hAnsi="Arial" w:cs="Arial"/>
                <w:snapToGrid w:val="0"/>
                <w:color w:val="000000"/>
                <w:sz w:val="18"/>
                <w:szCs w:val="18"/>
              </w:rPr>
              <w:t xml:space="preserve">, pneumonia) in nature. Observational studies suggest that, </w:t>
            </w:r>
            <w:proofErr w:type="gramStart"/>
            <w:r w:rsidRPr="00BE3A54">
              <w:rPr>
                <w:rFonts w:ascii="Arial" w:hAnsi="Arial" w:cs="Arial"/>
                <w:snapToGrid w:val="0"/>
                <w:color w:val="000000"/>
                <w:sz w:val="18"/>
                <w:szCs w:val="18"/>
              </w:rPr>
              <w:t>similar to</w:t>
            </w:r>
            <w:proofErr w:type="gramEnd"/>
            <w:r w:rsidRPr="00BE3A54">
              <w:rPr>
                <w:rFonts w:ascii="Arial" w:hAnsi="Arial" w:cs="Arial"/>
                <w:snapToGrid w:val="0"/>
                <w:color w:val="000000"/>
                <w:sz w:val="18"/>
                <w:szCs w:val="18"/>
              </w:rPr>
              <w:t xml:space="preserve">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 Fluphenazine hydrochloride is not approved for the treatment of patients with dementia-related psychosis.</w:t>
            </w:r>
          </w:p>
          <w:p w14:paraId="34CC3FEB" w14:textId="3BB47F3D" w:rsidR="003379BD" w:rsidRPr="00BE3A54" w:rsidRDefault="003379BD" w:rsidP="006A6CDD">
            <w:pPr>
              <w:rPr>
                <w:rFonts w:ascii="Arial" w:hAnsi="Arial" w:cs="Arial"/>
                <w:bCs/>
                <w:sz w:val="12"/>
                <w:szCs w:val="12"/>
              </w:rPr>
            </w:pPr>
          </w:p>
        </w:tc>
      </w:tr>
      <w:tr w:rsidR="004553BF" w14:paraId="03A22388" w14:textId="77777777" w:rsidTr="00BE3A54">
        <w:trPr>
          <w:cantSplit/>
          <w:trHeight w:val="639"/>
        </w:trPr>
        <w:tc>
          <w:tcPr>
            <w:tcW w:w="11448" w:type="dxa"/>
            <w:gridSpan w:val="2"/>
            <w:tcBorders>
              <w:top w:val="nil"/>
              <w:left w:val="nil"/>
              <w:bottom w:val="nil"/>
              <w:right w:val="nil"/>
            </w:tcBorders>
          </w:tcPr>
          <w:p w14:paraId="5AA19370" w14:textId="21ED0242" w:rsidR="0056414C" w:rsidRPr="00916D82" w:rsidRDefault="004553BF" w:rsidP="006A6CDD">
            <w:pPr>
              <w:rPr>
                <w:snapToGrid w:val="0"/>
                <w:color w:val="000000"/>
              </w:rPr>
            </w:pPr>
            <w:r>
              <w:rPr>
                <w:rFonts w:ascii="Arial" w:hAnsi="Arial"/>
                <w:b/>
                <w:snapToGrid w:val="0"/>
                <w:color w:val="000000"/>
                <w:sz w:val="18"/>
              </w:rPr>
              <w:t xml:space="preserve">Syndrome </w:t>
            </w:r>
            <w:proofErr w:type="gramStart"/>
            <w:r>
              <w:rPr>
                <w:rFonts w:ascii="Arial" w:hAnsi="Arial"/>
                <w:b/>
                <w:snapToGrid w:val="0"/>
                <w:color w:val="000000"/>
                <w:sz w:val="18"/>
              </w:rPr>
              <w:t>Note</w:t>
            </w:r>
            <w:r>
              <w:rPr>
                <w:rFonts w:ascii="Arial" w:hAnsi="Arial"/>
                <w:b/>
                <w:snapToGrid w:val="0"/>
                <w:color w:val="000000"/>
                <w:sz w:val="16"/>
              </w:rPr>
              <w:t xml:space="preserve">  </w:t>
            </w:r>
            <w:r w:rsidR="00BE3A54" w:rsidRPr="00BE3A54">
              <w:rPr>
                <w:rFonts w:ascii="Arial" w:hAnsi="Arial" w:cs="Arial"/>
                <w:snapToGrid w:val="0"/>
                <w:color w:val="000000"/>
                <w:sz w:val="18"/>
                <w:szCs w:val="18"/>
              </w:rPr>
              <w:t>Neuroleptic</w:t>
            </w:r>
            <w:proofErr w:type="gramEnd"/>
            <w:r w:rsidR="00BE3A54" w:rsidRPr="00BE3A54">
              <w:rPr>
                <w:rFonts w:ascii="Arial" w:hAnsi="Arial" w:cs="Arial"/>
                <w:snapToGrid w:val="0"/>
                <w:color w:val="000000"/>
                <w:sz w:val="18"/>
                <w:szCs w:val="18"/>
              </w:rPr>
              <w:t xml:space="preserve"> malignant syndrome: Neuroleptic Malignant Syndrome (NMS) has been reported with antipsychotic drugs and may be fatal. May manifest as hyperpyrexia, muscle rigidity, altered mental status, evidence of autonomic instability (irregular pulse or blood pressure, tachycardia, diaphoresis and cardiac dysrhythmias). Symptoms persisted for 12 to 13 days after stopping the neuroleptic. Diagnosis is complicated; differential diagnosis should account for the possibility of both serious illness and untreated extrapyramidal signs, as well as central anticholinergic toxicity, heat stroke, drug fever, and primary CNS pathology.</w:t>
            </w:r>
          </w:p>
        </w:tc>
      </w:tr>
      <w:tr w:rsidR="003379BD" w14:paraId="09413AEF" w14:textId="77777777" w:rsidTr="00BE3A54">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BE3A54">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8" w:name="Check6"/>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28"/>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29" w:name="Check5"/>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bookmarkEnd w:id="29"/>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A27D7">
              <w:rPr>
                <w:rFonts w:ascii="Arial" w:hAnsi="Arial"/>
                <w:sz w:val="18"/>
              </w:rPr>
            </w:r>
            <w:r w:rsidR="004A27D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3482" w14:textId="77777777" w:rsidR="00384F72" w:rsidRDefault="00384F72" w:rsidP="007A6FC3">
      <w:r>
        <w:separator/>
      </w:r>
    </w:p>
  </w:endnote>
  <w:endnote w:type="continuationSeparator" w:id="0">
    <w:p w14:paraId="75D1A80E" w14:textId="77777777" w:rsidR="00384F72" w:rsidRDefault="00384F7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1E74" w14:textId="77777777" w:rsidR="00384F72" w:rsidRDefault="00384F72" w:rsidP="007A6FC3">
      <w:r>
        <w:separator/>
      </w:r>
    </w:p>
  </w:footnote>
  <w:footnote w:type="continuationSeparator" w:id="0">
    <w:p w14:paraId="39CF9A6A" w14:textId="77777777" w:rsidR="00384F72" w:rsidRDefault="00384F7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NI8sBbW9EoXprz06C74R9uI+bL1Tvff2GMVHDjc06IfRVHguri5DxWuBR8sOS3ATC/uUXnu2c31D29eqc+rw==" w:salt="SnbnZ2OEsOdWzg9MTVJdF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0BFA"/>
    <w:rsid w:val="00017A46"/>
    <w:rsid w:val="00031FEC"/>
    <w:rsid w:val="00052AE8"/>
    <w:rsid w:val="00065117"/>
    <w:rsid w:val="00070550"/>
    <w:rsid w:val="00082C72"/>
    <w:rsid w:val="00097390"/>
    <w:rsid w:val="000D55C9"/>
    <w:rsid w:val="000F3919"/>
    <w:rsid w:val="00101422"/>
    <w:rsid w:val="00144D6C"/>
    <w:rsid w:val="0018307F"/>
    <w:rsid w:val="001E0F01"/>
    <w:rsid w:val="0021563E"/>
    <w:rsid w:val="00295B89"/>
    <w:rsid w:val="00311731"/>
    <w:rsid w:val="0031599E"/>
    <w:rsid w:val="003379BD"/>
    <w:rsid w:val="00384F72"/>
    <w:rsid w:val="003A15FD"/>
    <w:rsid w:val="003B70D9"/>
    <w:rsid w:val="003D356D"/>
    <w:rsid w:val="003E29B2"/>
    <w:rsid w:val="004553BF"/>
    <w:rsid w:val="0047002C"/>
    <w:rsid w:val="004A27D7"/>
    <w:rsid w:val="004C2872"/>
    <w:rsid w:val="004D379B"/>
    <w:rsid w:val="005325D4"/>
    <w:rsid w:val="00546EF3"/>
    <w:rsid w:val="005508EB"/>
    <w:rsid w:val="0056414C"/>
    <w:rsid w:val="005A70E2"/>
    <w:rsid w:val="005F0984"/>
    <w:rsid w:val="005F3D5E"/>
    <w:rsid w:val="00606B81"/>
    <w:rsid w:val="00621771"/>
    <w:rsid w:val="0064565E"/>
    <w:rsid w:val="00653309"/>
    <w:rsid w:val="00683097"/>
    <w:rsid w:val="006A6CDD"/>
    <w:rsid w:val="006A7CD1"/>
    <w:rsid w:val="006B7A42"/>
    <w:rsid w:val="00733E35"/>
    <w:rsid w:val="00775C94"/>
    <w:rsid w:val="007A6FC3"/>
    <w:rsid w:val="007F44C1"/>
    <w:rsid w:val="008E0D37"/>
    <w:rsid w:val="00900DB4"/>
    <w:rsid w:val="00916D82"/>
    <w:rsid w:val="00927055"/>
    <w:rsid w:val="00934FD5"/>
    <w:rsid w:val="009F1B74"/>
    <w:rsid w:val="00A05C70"/>
    <w:rsid w:val="00A60207"/>
    <w:rsid w:val="00AA7ED4"/>
    <w:rsid w:val="00AB1650"/>
    <w:rsid w:val="00B23CEC"/>
    <w:rsid w:val="00B47C64"/>
    <w:rsid w:val="00B82162"/>
    <w:rsid w:val="00B83999"/>
    <w:rsid w:val="00BE3A54"/>
    <w:rsid w:val="00C137A4"/>
    <w:rsid w:val="00CA71B6"/>
    <w:rsid w:val="00CA7C90"/>
    <w:rsid w:val="00CC7A80"/>
    <w:rsid w:val="00D0508F"/>
    <w:rsid w:val="00D67E6A"/>
    <w:rsid w:val="00DF0FF9"/>
    <w:rsid w:val="00E02750"/>
    <w:rsid w:val="00E573C3"/>
    <w:rsid w:val="00E7205C"/>
    <w:rsid w:val="00EA1297"/>
    <w:rsid w:val="00EE5A08"/>
    <w:rsid w:val="00EF5F71"/>
    <w:rsid w:val="00F55DC4"/>
    <w:rsid w:val="00FE6A5A"/>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3</cp:revision>
  <cp:lastPrinted>2008-02-05T17:04:00Z</cp:lastPrinted>
  <dcterms:created xsi:type="dcterms:W3CDTF">2024-09-05T18:09:00Z</dcterms:created>
  <dcterms:modified xsi:type="dcterms:W3CDTF">2024-09-09T20:00:00Z</dcterms:modified>
</cp:coreProperties>
</file>