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B85BB7" w:rsidRDefault="0056414C">
      <w:pPr>
        <w:pStyle w:val="Heading3"/>
        <w:rPr>
          <w:sz w:val="2"/>
          <w:szCs w:val="2"/>
        </w:rPr>
        <w:sectPr w:rsidR="0056414C" w:rsidRPr="00B85BB7"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990"/>
        <w:gridCol w:w="396"/>
        <w:gridCol w:w="144"/>
        <w:gridCol w:w="176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622264">
              <w:rPr>
                <w:noProof/>
              </w:rPr>
              <w:t>06/</w:t>
            </w:r>
            <w:r w:rsidR="00541349">
              <w:rPr>
                <w:noProof/>
              </w:rPr>
              <w:t>17</w:t>
            </w:r>
            <w:r w:rsidR="00622264">
              <w:rPr>
                <w:noProof/>
              </w:rPr>
              <w:t>/2017</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6"/>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Pr>
                <w:sz w:val="22"/>
              </w:rPr>
              <w:fldChar w:fldCharType="end"/>
            </w:r>
            <w:bookmarkEnd w:id="7"/>
          </w:p>
        </w:tc>
      </w:tr>
      <w:tr w:rsidR="003379BD" w:rsidTr="00934FEE">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2160" w:type="dxa"/>
            <w:gridSpan w:val="3"/>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4680" w:type="dxa"/>
            <w:gridSpan w:val="5"/>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3379BD" w:rsidTr="00934FEE">
        <w:trPr>
          <w:cantSplit/>
        </w:trPr>
        <w:tc>
          <w:tcPr>
            <w:tcW w:w="3168" w:type="dxa"/>
            <w:tcBorders>
              <w:top w:val="single" w:sz="4" w:space="0" w:color="auto"/>
              <w:left w:val="nil"/>
              <w:bottom w:val="single" w:sz="4" w:space="0" w:color="auto"/>
            </w:tcBorders>
            <w:vAlign w:val="center"/>
          </w:tcPr>
          <w:p w:rsidR="003379BD" w:rsidRDefault="00FC045A" w:rsidP="006B7A42">
            <w:pPr>
              <w:rPr>
                <w:sz w:val="22"/>
              </w:rPr>
            </w:pPr>
            <w:r>
              <w:rPr>
                <w:sz w:val="22"/>
              </w:rPr>
              <w:t xml:space="preserve">Antipsychotic – First Generation (Typical); Phenothiazine </w:t>
            </w:r>
            <w:r w:rsidR="006811DB">
              <w:rPr>
                <w:sz w:val="22"/>
              </w:rPr>
              <w:t xml:space="preserve">Derivative </w:t>
            </w:r>
          </w:p>
        </w:tc>
        <w:tc>
          <w:tcPr>
            <w:tcW w:w="2160" w:type="dxa"/>
            <w:gridSpan w:val="3"/>
            <w:tcBorders>
              <w:top w:val="single" w:sz="4" w:space="0" w:color="auto"/>
              <w:bottom w:val="single" w:sz="4" w:space="0" w:color="auto"/>
              <w:right w:val="nil"/>
            </w:tcBorders>
          </w:tcPr>
          <w:p w:rsidR="003379BD" w:rsidRDefault="00FC045A">
            <w:pPr>
              <w:tabs>
                <w:tab w:val="left" w:pos="702"/>
                <w:tab w:val="left" w:pos="882"/>
                <w:tab w:val="left" w:pos="1152"/>
                <w:tab w:val="left" w:pos="1602"/>
              </w:tabs>
              <w:rPr>
                <w:sz w:val="22"/>
              </w:rPr>
            </w:pPr>
            <w:proofErr w:type="spellStart"/>
            <w:r>
              <w:rPr>
                <w:sz w:val="22"/>
              </w:rPr>
              <w:t>Prolixin</w:t>
            </w:r>
            <w:proofErr w:type="spellEnd"/>
            <w:r>
              <w:rPr>
                <w:sz w:val="22"/>
              </w:rPr>
              <w:t xml:space="preserve"> </w:t>
            </w:r>
          </w:p>
          <w:p w:rsidR="003379BD" w:rsidRDefault="003379BD" w:rsidP="00FC045A">
            <w:pPr>
              <w:tabs>
                <w:tab w:val="left" w:pos="702"/>
                <w:tab w:val="left" w:pos="882"/>
                <w:tab w:val="left" w:pos="1152"/>
                <w:tab w:val="left" w:pos="1602"/>
              </w:tabs>
              <w:rPr>
                <w:sz w:val="22"/>
              </w:rPr>
            </w:pPr>
            <w:r>
              <w:rPr>
                <w:sz w:val="22"/>
              </w:rPr>
              <w:t>(</w:t>
            </w:r>
            <w:proofErr w:type="spellStart"/>
            <w:r w:rsidR="00FC045A">
              <w:rPr>
                <w:sz w:val="22"/>
              </w:rPr>
              <w:t>Fluphenazine</w:t>
            </w:r>
            <w:proofErr w:type="spellEnd"/>
            <w:r>
              <w:rPr>
                <w:sz w:val="22"/>
              </w:rPr>
              <w:t>)</w:t>
            </w:r>
          </w:p>
        </w:tc>
        <w:tc>
          <w:tcPr>
            <w:tcW w:w="4680" w:type="dxa"/>
            <w:gridSpan w:val="5"/>
            <w:tcBorders>
              <w:top w:val="single" w:sz="4" w:space="0" w:color="auto"/>
              <w:bottom w:val="single" w:sz="4" w:space="0" w:color="auto"/>
              <w:right w:val="nil"/>
            </w:tcBorders>
            <w:vAlign w:val="center"/>
          </w:tcPr>
          <w:p w:rsidR="003379BD" w:rsidRDefault="00934FEE">
            <w:pPr>
              <w:tabs>
                <w:tab w:val="left" w:pos="702"/>
                <w:tab w:val="left" w:pos="882"/>
                <w:tab w:val="left" w:pos="1152"/>
                <w:tab w:val="left" w:pos="1602"/>
              </w:tabs>
              <w:rPr>
                <w:sz w:val="22"/>
              </w:rPr>
            </w:pPr>
            <w:r>
              <w:rPr>
                <w:sz w:val="22"/>
              </w:rPr>
              <w:t>Oral: 2.5</w:t>
            </w:r>
            <w:r w:rsidR="0076102A">
              <w:rPr>
                <w:sz w:val="22"/>
              </w:rPr>
              <w:t xml:space="preserve"> mg to </w:t>
            </w:r>
            <w:r>
              <w:rPr>
                <w:sz w:val="22"/>
              </w:rPr>
              <w:t>40</w:t>
            </w:r>
            <w:r w:rsidR="0076102A">
              <w:rPr>
                <w:sz w:val="22"/>
              </w:rPr>
              <w:t xml:space="preserve"> </w:t>
            </w:r>
            <w:r w:rsidR="00A609E9">
              <w:rPr>
                <w:sz w:val="22"/>
              </w:rPr>
              <w:t xml:space="preserve">mg per </w:t>
            </w:r>
            <w:r>
              <w:rPr>
                <w:sz w:val="22"/>
              </w:rPr>
              <w:t>day</w:t>
            </w:r>
          </w:p>
          <w:p w:rsidR="006811DB" w:rsidRDefault="00934FEE">
            <w:pPr>
              <w:tabs>
                <w:tab w:val="left" w:pos="702"/>
                <w:tab w:val="left" w:pos="882"/>
                <w:tab w:val="left" w:pos="1152"/>
                <w:tab w:val="left" w:pos="1602"/>
              </w:tabs>
              <w:rPr>
                <w:sz w:val="22"/>
              </w:rPr>
            </w:pPr>
            <w:r>
              <w:rPr>
                <w:sz w:val="22"/>
              </w:rPr>
              <w:t>Short-acting</w:t>
            </w:r>
            <w:r w:rsidR="006811DB">
              <w:rPr>
                <w:sz w:val="22"/>
              </w:rPr>
              <w:t xml:space="preserve"> Injection: </w:t>
            </w:r>
            <w:r>
              <w:rPr>
                <w:sz w:val="22"/>
              </w:rPr>
              <w:t>1.25</w:t>
            </w:r>
            <w:r w:rsidR="0076102A">
              <w:rPr>
                <w:sz w:val="22"/>
              </w:rPr>
              <w:t xml:space="preserve"> mg to </w:t>
            </w:r>
            <w:r w:rsidR="00A609E9">
              <w:rPr>
                <w:sz w:val="22"/>
              </w:rPr>
              <w:t xml:space="preserve">10mg per </w:t>
            </w:r>
            <w:r>
              <w:rPr>
                <w:sz w:val="22"/>
              </w:rPr>
              <w:t xml:space="preserve">day </w:t>
            </w:r>
          </w:p>
          <w:p w:rsidR="006811DB" w:rsidRDefault="006811DB">
            <w:pPr>
              <w:tabs>
                <w:tab w:val="left" w:pos="702"/>
                <w:tab w:val="left" w:pos="882"/>
                <w:tab w:val="left" w:pos="1152"/>
                <w:tab w:val="left" w:pos="1602"/>
              </w:tabs>
              <w:rPr>
                <w:sz w:val="22"/>
              </w:rPr>
            </w:pPr>
            <w:proofErr w:type="spellStart"/>
            <w:r>
              <w:rPr>
                <w:sz w:val="22"/>
              </w:rPr>
              <w:t>Dec</w:t>
            </w:r>
            <w:r w:rsidR="00404584">
              <w:rPr>
                <w:sz w:val="22"/>
              </w:rPr>
              <w:t>ano</w:t>
            </w:r>
            <w:r>
              <w:rPr>
                <w:sz w:val="22"/>
              </w:rPr>
              <w:t>ate</w:t>
            </w:r>
            <w:proofErr w:type="spellEnd"/>
            <w:r>
              <w:rPr>
                <w:sz w:val="22"/>
              </w:rPr>
              <w:t xml:space="preserve"> Injection:</w:t>
            </w:r>
            <w:r w:rsidR="00934FEE">
              <w:rPr>
                <w:sz w:val="22"/>
              </w:rPr>
              <w:t xml:space="preserve"> 3.125</w:t>
            </w:r>
            <w:r w:rsidR="0076102A">
              <w:rPr>
                <w:sz w:val="22"/>
              </w:rPr>
              <w:t xml:space="preserve"> mg to 100 mg per every one to three</w:t>
            </w:r>
            <w:r w:rsidR="00934FEE">
              <w:rPr>
                <w:sz w:val="22"/>
              </w:rPr>
              <w:t xml:space="preserve"> weeks</w:t>
            </w:r>
          </w:p>
          <w:p w:rsidR="006811DB" w:rsidRDefault="006811DB">
            <w:pPr>
              <w:tabs>
                <w:tab w:val="left" w:pos="702"/>
                <w:tab w:val="left" w:pos="882"/>
                <w:tab w:val="left" w:pos="1152"/>
                <w:tab w:val="left" w:pos="1602"/>
              </w:tabs>
              <w:rPr>
                <w:sz w:val="22"/>
              </w:rPr>
            </w:pPr>
          </w:p>
        </w:tc>
        <w:tc>
          <w:tcPr>
            <w:tcW w:w="1440" w:type="dxa"/>
            <w:tcBorders>
              <w:top w:val="single" w:sz="4" w:space="0" w:color="auto"/>
              <w:bottom w:val="single" w:sz="4" w:space="0" w:color="auto"/>
              <w:right w:val="nil"/>
            </w:tcBorders>
            <w:vAlign w:val="center"/>
          </w:tcPr>
          <w:p w:rsidR="003379BD" w:rsidRDefault="00B1786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 xml:space="preserve">The anticipated dosage range is to be individualized, may be </w:t>
            </w:r>
            <w:proofErr w:type="gramStart"/>
            <w:r>
              <w:rPr>
                <w:b w:val="0"/>
              </w:rPr>
              <w:t>above</w:t>
            </w:r>
            <w:proofErr w:type="gramEnd"/>
            <w:r>
              <w:rPr>
                <w:b w:val="0"/>
              </w:rPr>
              <w:t xml:space="preser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85BB7">
        <w:trPr>
          <w:cantSplit/>
          <w:trHeight w:val="783"/>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sidR="00B1786E">
              <w:rPr>
                <w:sz w:val="22"/>
              </w:rPr>
              <w:fldChar w:fldCharType="end"/>
            </w:r>
            <w:bookmarkEnd w:id="17"/>
          </w:p>
        </w:tc>
      </w:tr>
      <w:tr w:rsidR="003379BD" w:rsidTr="00934FEE">
        <w:trPr>
          <w:cantSplit/>
          <w:trHeight w:hRule="exact" w:val="8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5"/>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5"/>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5"/>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5"/>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5"/>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205EF3">
              <w:rPr>
                <w:noProof/>
                <w:sz w:val="22"/>
              </w:rPr>
              <w:t> </w:t>
            </w:r>
            <w:r w:rsidR="00205EF3">
              <w:rPr>
                <w:noProof/>
                <w:sz w:val="22"/>
              </w:rPr>
              <w:t> </w:t>
            </w:r>
            <w:r w:rsidR="00205EF3">
              <w:rPr>
                <w:noProof/>
                <w:sz w:val="22"/>
              </w:rPr>
              <w:t> </w:t>
            </w:r>
            <w:r w:rsidR="00205EF3">
              <w:rPr>
                <w:noProof/>
                <w:sz w:val="22"/>
              </w:rPr>
              <w:t> </w:t>
            </w:r>
            <w:r w:rsidR="00205EF3">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0C193D">
            <w:pPr>
              <w:rPr>
                <w:rFonts w:ascii="Arial" w:hAnsi="Arial"/>
                <w:sz w:val="18"/>
              </w:rPr>
            </w:pPr>
            <w:r>
              <w:rPr>
                <w:rFonts w:ascii="Arial" w:hAnsi="Arial"/>
                <w:sz w:val="18"/>
              </w:rPr>
              <w:t xml:space="preserve">Medication: </w:t>
            </w:r>
            <w:proofErr w:type="spellStart"/>
            <w:r w:rsidR="000C193D">
              <w:rPr>
                <w:sz w:val="22"/>
              </w:rPr>
              <w:t>Prolixin</w:t>
            </w:r>
            <w:proofErr w:type="spellEnd"/>
            <w:r w:rsidR="00097390" w:rsidRPr="00097390">
              <w:rPr>
                <w:sz w:val="22"/>
              </w:rPr>
              <w:t xml:space="preserve"> </w:t>
            </w:r>
            <w:r w:rsidR="00097390">
              <w:rPr>
                <w:rFonts w:ascii="Arial" w:hAnsi="Arial" w:cs="Arial"/>
                <w:sz w:val="18"/>
              </w:rPr>
              <w:t>–</w:t>
            </w:r>
            <w:r>
              <w:rPr>
                <w:rFonts w:ascii="Arial" w:hAnsi="Arial"/>
                <w:sz w:val="18"/>
              </w:rPr>
              <w:t xml:space="preserve"> (</w:t>
            </w:r>
            <w:proofErr w:type="spellStart"/>
            <w:r w:rsidR="000C193D">
              <w:rPr>
                <w:sz w:val="22"/>
              </w:rPr>
              <w:t>fluphenazine</w:t>
            </w:r>
            <w:proofErr w:type="spellEnd"/>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E86708" w:rsidRDefault="003379BD" w:rsidP="00683097">
            <w:pPr>
              <w:pStyle w:val="Heading6"/>
              <w:rPr>
                <w:rFonts w:cs="Arial"/>
                <w:b w:val="0"/>
                <w:sz w:val="18"/>
                <w:szCs w:val="18"/>
              </w:rPr>
            </w:pPr>
            <w:r w:rsidRPr="00E86708">
              <w:rPr>
                <w:rFonts w:cs="Arial"/>
                <w:b w:val="0"/>
                <w:sz w:val="18"/>
              </w:rPr>
              <w:t>Continued – Possible side effects, warnings</w:t>
            </w:r>
            <w:r w:rsidR="00097390" w:rsidRPr="00E86708">
              <w:rPr>
                <w:rFonts w:cs="Arial"/>
                <w:b w:val="0"/>
                <w:sz w:val="18"/>
              </w:rPr>
              <w:t>,</w:t>
            </w:r>
            <w:r w:rsidRPr="00E86708">
              <w:rPr>
                <w:rFonts w:cs="Arial"/>
                <w:b w:val="0"/>
                <w:sz w:val="18"/>
              </w:rPr>
              <w:t xml:space="preserve"> and cautions</w:t>
            </w:r>
            <w:r w:rsidRPr="00E86708">
              <w:rPr>
                <w:rFonts w:cs="Arial"/>
                <w:b w:val="0"/>
              </w:rPr>
              <w:t xml:space="preserve"> </w:t>
            </w:r>
            <w:r w:rsidRPr="00E86708">
              <w:rPr>
                <w:rFonts w:cs="Arial"/>
                <w:b w:val="0"/>
                <w:sz w:val="18"/>
                <w:szCs w:val="18"/>
              </w:rPr>
              <w:t>associated with this medication.</w:t>
            </w:r>
          </w:p>
          <w:p w:rsidR="00C3690E" w:rsidRPr="00E86708" w:rsidRDefault="003379BD" w:rsidP="00C3690E">
            <w:pPr>
              <w:pStyle w:val="Heading6"/>
              <w:spacing w:before="120"/>
              <w:rPr>
                <w:rFonts w:cs="Arial"/>
                <w:b w:val="0"/>
                <w:sz w:val="18"/>
                <w:szCs w:val="18"/>
              </w:rPr>
            </w:pPr>
            <w:r w:rsidRPr="00E86708">
              <w:rPr>
                <w:rFonts w:cs="Arial"/>
                <w:sz w:val="18"/>
                <w:szCs w:val="18"/>
              </w:rPr>
              <w:t>Most Common Side Effects</w:t>
            </w:r>
            <w:r w:rsidR="003864CC">
              <w:rPr>
                <w:rFonts w:cs="Arial"/>
                <w:sz w:val="18"/>
                <w:szCs w:val="18"/>
              </w:rPr>
              <w:t>:</w:t>
            </w:r>
            <w:r w:rsidR="00C64804" w:rsidRPr="00E86708">
              <w:rPr>
                <w:rFonts w:cs="Arial"/>
                <w:b w:val="0"/>
                <w:sz w:val="18"/>
                <w:szCs w:val="18"/>
              </w:rPr>
              <w:t xml:space="preserve"> </w:t>
            </w:r>
            <w:r w:rsidR="00C3690E" w:rsidRPr="00E86708">
              <w:rPr>
                <w:rFonts w:cs="Arial"/>
                <w:b w:val="0"/>
                <w:sz w:val="18"/>
                <w:szCs w:val="18"/>
              </w:rPr>
              <w:t xml:space="preserve">dizziness; drowsiness; </w:t>
            </w:r>
            <w:r w:rsidR="003864CC">
              <w:rPr>
                <w:rFonts w:cs="Arial"/>
                <w:b w:val="0"/>
                <w:sz w:val="18"/>
                <w:szCs w:val="18"/>
              </w:rPr>
              <w:t>hypotension (</w:t>
            </w:r>
            <w:r w:rsidR="00C3690E" w:rsidRPr="00E86708">
              <w:rPr>
                <w:rFonts w:cs="Arial"/>
                <w:b w:val="0"/>
                <w:sz w:val="18"/>
                <w:szCs w:val="18"/>
              </w:rPr>
              <w:t>l</w:t>
            </w:r>
            <w:r w:rsidR="00AE2B8A" w:rsidRPr="00E86708">
              <w:rPr>
                <w:rFonts w:cs="Arial"/>
                <w:b w:val="0"/>
                <w:sz w:val="18"/>
                <w:szCs w:val="18"/>
              </w:rPr>
              <w:t>ow blood pressure</w:t>
            </w:r>
            <w:r w:rsidR="003864CC">
              <w:rPr>
                <w:rFonts w:cs="Arial"/>
                <w:b w:val="0"/>
                <w:sz w:val="18"/>
                <w:szCs w:val="18"/>
              </w:rPr>
              <w:t>)</w:t>
            </w:r>
            <w:r w:rsidR="00C3690E" w:rsidRPr="00E86708">
              <w:rPr>
                <w:rFonts w:cs="Arial"/>
                <w:b w:val="0"/>
                <w:sz w:val="18"/>
                <w:szCs w:val="18"/>
              </w:rPr>
              <w:t>; decreased sweating; dry mouth; nasal congestion</w:t>
            </w:r>
            <w:r w:rsidR="003864CC">
              <w:rPr>
                <w:rFonts w:cs="Arial"/>
                <w:b w:val="0"/>
                <w:sz w:val="18"/>
                <w:szCs w:val="18"/>
              </w:rPr>
              <w:t>.</w:t>
            </w:r>
          </w:p>
          <w:p w:rsidR="00C3690E" w:rsidRPr="00E86708" w:rsidRDefault="00C3690E" w:rsidP="00E86708">
            <w:pPr>
              <w:pStyle w:val="Heading6"/>
              <w:spacing w:before="120"/>
              <w:rPr>
                <w:rFonts w:cs="Arial"/>
              </w:rPr>
            </w:pPr>
          </w:p>
        </w:tc>
      </w:tr>
      <w:tr w:rsidR="003379BD" w:rsidTr="008768D6">
        <w:trPr>
          <w:trHeight w:val="576"/>
        </w:trPr>
        <w:tc>
          <w:tcPr>
            <w:tcW w:w="11448" w:type="dxa"/>
            <w:gridSpan w:val="2"/>
            <w:tcBorders>
              <w:top w:val="nil"/>
              <w:left w:val="nil"/>
              <w:bottom w:val="nil"/>
              <w:right w:val="nil"/>
            </w:tcBorders>
          </w:tcPr>
          <w:p w:rsidR="00CC38B1" w:rsidRPr="00E86708" w:rsidRDefault="003379BD" w:rsidP="003864CC">
            <w:pPr>
              <w:rPr>
                <w:rFonts w:ascii="Arial" w:hAnsi="Arial" w:cs="Arial"/>
              </w:rPr>
            </w:pPr>
            <w:r w:rsidRPr="00E86708">
              <w:rPr>
                <w:rFonts w:ascii="Arial" w:hAnsi="Arial" w:cs="Arial"/>
                <w:b/>
                <w:snapToGrid w:val="0"/>
                <w:sz w:val="18"/>
              </w:rPr>
              <w:t xml:space="preserve">Less </w:t>
            </w:r>
            <w:r w:rsidR="005325D4" w:rsidRPr="00E86708">
              <w:rPr>
                <w:rFonts w:ascii="Arial" w:hAnsi="Arial" w:cs="Arial"/>
                <w:b/>
                <w:snapToGrid w:val="0"/>
                <w:sz w:val="18"/>
              </w:rPr>
              <w:t>C</w:t>
            </w:r>
            <w:r w:rsidRPr="00E86708">
              <w:rPr>
                <w:rFonts w:ascii="Arial" w:hAnsi="Arial" w:cs="Arial"/>
                <w:b/>
                <w:snapToGrid w:val="0"/>
                <w:sz w:val="18"/>
              </w:rPr>
              <w:t>ommon Side Effects</w:t>
            </w:r>
            <w:r w:rsidR="003864CC">
              <w:rPr>
                <w:rFonts w:ascii="Arial" w:hAnsi="Arial" w:cs="Arial"/>
                <w:b/>
                <w:snapToGrid w:val="0"/>
                <w:sz w:val="18"/>
              </w:rPr>
              <w:t>:</w:t>
            </w:r>
            <w:r w:rsidR="00C3690E" w:rsidRPr="00E86708">
              <w:rPr>
                <w:rFonts w:ascii="Arial" w:hAnsi="Arial" w:cs="Arial"/>
                <w:snapToGrid w:val="0"/>
                <w:sz w:val="18"/>
              </w:rPr>
              <w:t xml:space="preserve"> rough or “fuzzy” tongue; </w:t>
            </w:r>
            <w:r w:rsidR="00E86708">
              <w:rPr>
                <w:rFonts w:ascii="Arial" w:hAnsi="Arial" w:cs="Arial"/>
                <w:snapToGrid w:val="0"/>
                <w:sz w:val="18"/>
              </w:rPr>
              <w:t>watering of</w:t>
            </w:r>
            <w:r w:rsidR="003864CC">
              <w:rPr>
                <w:rFonts w:ascii="Arial" w:hAnsi="Arial" w:cs="Arial"/>
                <w:snapToGrid w:val="0"/>
                <w:sz w:val="18"/>
              </w:rPr>
              <w:t xml:space="preserve"> the</w:t>
            </w:r>
            <w:r w:rsidR="00E86708">
              <w:rPr>
                <w:rFonts w:ascii="Arial" w:hAnsi="Arial" w:cs="Arial"/>
                <w:snapToGrid w:val="0"/>
                <w:sz w:val="18"/>
              </w:rPr>
              <w:t xml:space="preserve"> mouth</w:t>
            </w:r>
            <w:r w:rsidR="002C31E0" w:rsidRPr="00E86708">
              <w:rPr>
                <w:rFonts w:ascii="Arial" w:hAnsi="Arial" w:cs="Arial"/>
                <w:snapToGrid w:val="0"/>
                <w:sz w:val="18"/>
              </w:rPr>
              <w:t>; increase</w:t>
            </w:r>
            <w:r w:rsidR="00E86708">
              <w:rPr>
                <w:rFonts w:ascii="Arial" w:hAnsi="Arial" w:cs="Arial"/>
                <w:snapToGrid w:val="0"/>
                <w:sz w:val="18"/>
              </w:rPr>
              <w:t>d</w:t>
            </w:r>
            <w:r w:rsidR="002C31E0" w:rsidRPr="00E86708">
              <w:rPr>
                <w:rFonts w:ascii="Arial" w:hAnsi="Arial" w:cs="Arial"/>
                <w:snapToGrid w:val="0"/>
                <w:sz w:val="18"/>
              </w:rPr>
              <w:t xml:space="preserve"> skin sensitivity to the sun; itching; weight gain; </w:t>
            </w:r>
            <w:r w:rsidR="00C3690E" w:rsidRPr="00E86708">
              <w:rPr>
                <w:rFonts w:ascii="Arial" w:hAnsi="Arial" w:cs="Arial"/>
                <w:snapToGrid w:val="0"/>
                <w:sz w:val="18"/>
              </w:rPr>
              <w:t>unusual secretion of milk</w:t>
            </w:r>
            <w:r w:rsidR="003864CC">
              <w:rPr>
                <w:rFonts w:ascii="Arial" w:hAnsi="Arial" w:cs="Arial"/>
                <w:snapToGrid w:val="0"/>
                <w:sz w:val="18"/>
              </w:rPr>
              <w:t xml:space="preserve"> in women</w:t>
            </w:r>
            <w:r w:rsidR="00C3690E" w:rsidRPr="00E86708">
              <w:rPr>
                <w:rFonts w:ascii="Arial" w:hAnsi="Arial" w:cs="Arial"/>
                <w:snapToGrid w:val="0"/>
                <w:sz w:val="18"/>
              </w:rPr>
              <w:t xml:space="preserve">; swelling of breast tissue; </w:t>
            </w:r>
            <w:r w:rsidR="002C31E0" w:rsidRPr="00E86708">
              <w:rPr>
                <w:rFonts w:ascii="Arial" w:hAnsi="Arial" w:cs="Arial"/>
                <w:snapToGrid w:val="0"/>
                <w:sz w:val="18"/>
              </w:rPr>
              <w:t>decreased interest in sexual activity/ability; constipation; difficulty in urinating; musc</w:t>
            </w:r>
            <w:r w:rsidR="00E86708" w:rsidRPr="00E86708">
              <w:rPr>
                <w:rFonts w:ascii="Arial" w:hAnsi="Arial" w:cs="Arial"/>
                <w:snapToGrid w:val="0"/>
                <w:sz w:val="18"/>
              </w:rPr>
              <w:t>le spasm; tremor;</w:t>
            </w:r>
            <w:r w:rsidR="003864CC">
              <w:rPr>
                <w:rFonts w:ascii="Arial" w:hAnsi="Arial" w:cs="Arial"/>
                <w:noProof/>
                <w:sz w:val="18"/>
              </w:rPr>
              <w:t xml:space="preserve"> </w:t>
            </w:r>
            <w:r w:rsidR="00E86708" w:rsidRPr="00E86708">
              <w:rPr>
                <w:rFonts w:ascii="Arial" w:hAnsi="Arial" w:cs="Arial"/>
                <w:noProof/>
                <w:sz w:val="18"/>
              </w:rPr>
              <w:t>change in color vision, or difficulty in seeing at night; fainting; loss of balance control; mask-like face; restlessness</w:t>
            </w:r>
            <w:r w:rsidR="003864CC">
              <w:rPr>
                <w:rFonts w:ascii="Arial" w:hAnsi="Arial" w:cs="Arial"/>
                <w:noProof/>
                <w:sz w:val="18"/>
              </w:rPr>
              <w:t>,</w:t>
            </w:r>
            <w:r w:rsidR="00E86708" w:rsidRPr="00E86708">
              <w:rPr>
                <w:rFonts w:ascii="Arial" w:hAnsi="Arial" w:cs="Arial"/>
                <w:noProof/>
                <w:sz w:val="18"/>
              </w:rPr>
              <w:t xml:space="preserve"> or</w:t>
            </w:r>
            <w:r w:rsidR="003864CC">
              <w:rPr>
                <w:rFonts w:ascii="Arial" w:hAnsi="Arial" w:cs="Arial"/>
                <w:noProof/>
                <w:sz w:val="18"/>
              </w:rPr>
              <w:t xml:space="preserve"> feeling the</w:t>
            </w:r>
            <w:r w:rsidR="00E86708" w:rsidRPr="00E86708">
              <w:rPr>
                <w:rFonts w:ascii="Arial" w:hAnsi="Arial" w:cs="Arial"/>
                <w:noProof/>
                <w:sz w:val="18"/>
              </w:rPr>
              <w:t xml:space="preserve"> need to keep moving; shuffling walk; stiffness of arms or legs; trembling and shaking of hands and fingers; increased blinking or spasms of eyelid; lip smacking or puckering; muscle spasms of </w:t>
            </w:r>
            <w:r w:rsidR="003864CC">
              <w:rPr>
                <w:rFonts w:ascii="Arial" w:hAnsi="Arial" w:cs="Arial"/>
                <w:noProof/>
                <w:sz w:val="18"/>
              </w:rPr>
              <w:t xml:space="preserve">the </w:t>
            </w:r>
            <w:r w:rsidR="00E86708" w:rsidRPr="00E86708">
              <w:rPr>
                <w:rFonts w:ascii="Arial" w:hAnsi="Arial" w:cs="Arial"/>
                <w:noProof/>
                <w:sz w:val="18"/>
              </w:rPr>
              <w:t>face, neck, body, arms, or legs; puffing of</w:t>
            </w:r>
            <w:r w:rsidR="003864CC">
              <w:rPr>
                <w:rFonts w:ascii="Arial" w:hAnsi="Arial" w:cs="Arial"/>
                <w:noProof/>
                <w:sz w:val="18"/>
              </w:rPr>
              <w:t xml:space="preserve"> the</w:t>
            </w:r>
            <w:r w:rsidR="00E86708" w:rsidRPr="00E86708">
              <w:rPr>
                <w:rFonts w:ascii="Arial" w:hAnsi="Arial" w:cs="Arial"/>
                <w:noProof/>
                <w:sz w:val="18"/>
              </w:rPr>
              <w:t xml:space="preserve"> cheeks; rapid or worm-like movements of tongue; sticking out of tongue; tic-like or </w:t>
            </w:r>
            <w:r w:rsidR="003864CC">
              <w:rPr>
                <w:rFonts w:ascii="Arial" w:hAnsi="Arial" w:cs="Arial"/>
                <w:noProof/>
                <w:sz w:val="18"/>
              </w:rPr>
              <w:t xml:space="preserve">twitching movements; trouble </w:t>
            </w:r>
            <w:r w:rsidR="00E86708" w:rsidRPr="00E86708">
              <w:rPr>
                <w:rFonts w:ascii="Arial" w:hAnsi="Arial" w:cs="Arial"/>
                <w:noProof/>
                <w:sz w:val="18"/>
              </w:rPr>
              <w:t>breathing, speaking, or swallowing;</w:t>
            </w:r>
            <w:r w:rsidR="003864CC">
              <w:rPr>
                <w:rFonts w:ascii="Arial" w:hAnsi="Arial" w:cs="Arial"/>
                <w:noProof/>
                <w:sz w:val="18"/>
              </w:rPr>
              <w:t xml:space="preserve"> uncontrollable chewing movements.</w:t>
            </w:r>
          </w:p>
        </w:tc>
      </w:tr>
      <w:tr w:rsidR="003379BD" w:rsidTr="008768D6">
        <w:trPr>
          <w:trHeight w:val="576"/>
        </w:trPr>
        <w:tc>
          <w:tcPr>
            <w:tcW w:w="11448" w:type="dxa"/>
            <w:gridSpan w:val="2"/>
            <w:tcBorders>
              <w:top w:val="nil"/>
              <w:left w:val="nil"/>
              <w:bottom w:val="nil"/>
              <w:right w:val="nil"/>
            </w:tcBorders>
          </w:tcPr>
          <w:p w:rsidR="003379BD" w:rsidRPr="00E86708" w:rsidRDefault="003379BD" w:rsidP="00D7511F">
            <w:pPr>
              <w:rPr>
                <w:rFonts w:ascii="Arial" w:hAnsi="Arial" w:cs="Arial"/>
                <w:b/>
                <w:sz w:val="18"/>
                <w:szCs w:val="18"/>
              </w:rPr>
            </w:pPr>
            <w:r w:rsidRPr="00E86708">
              <w:rPr>
                <w:rFonts w:ascii="Arial" w:hAnsi="Arial" w:cs="Arial"/>
                <w:b/>
                <w:sz w:val="18"/>
                <w:szCs w:val="18"/>
              </w:rPr>
              <w:t>Rare Side Effects</w:t>
            </w:r>
            <w:r w:rsidR="003864CC">
              <w:rPr>
                <w:rFonts w:ascii="Arial" w:hAnsi="Arial" w:cs="Arial"/>
                <w:b/>
                <w:sz w:val="18"/>
                <w:szCs w:val="18"/>
              </w:rPr>
              <w:t>:</w:t>
            </w:r>
            <w:r w:rsidR="00D7511F" w:rsidRPr="00E86708">
              <w:rPr>
                <w:rFonts w:ascii="Arial" w:hAnsi="Arial" w:cs="Arial"/>
                <w:b/>
                <w:sz w:val="18"/>
                <w:szCs w:val="18"/>
              </w:rPr>
              <w:t xml:space="preserve"> </w:t>
            </w:r>
            <w:r w:rsidR="002C31E0" w:rsidRPr="00E86708">
              <w:rPr>
                <w:rFonts w:ascii="Arial" w:hAnsi="Arial" w:cs="Arial"/>
                <w:sz w:val="18"/>
                <w:szCs w:val="18"/>
              </w:rPr>
              <w:t xml:space="preserve">Although rare, contact you physician as soon as possible if the following occur: </w:t>
            </w:r>
            <w:r w:rsidR="0073031A">
              <w:rPr>
                <w:rFonts w:ascii="Arial" w:hAnsi="Arial" w:cs="Arial"/>
                <w:noProof/>
                <w:sz w:val="18"/>
                <w:szCs w:val="18"/>
              </w:rPr>
              <w:t>neuroleptic m</w:t>
            </w:r>
            <w:r w:rsidR="00D7511F" w:rsidRPr="00E86708">
              <w:rPr>
                <w:rFonts w:ascii="Arial" w:hAnsi="Arial" w:cs="Arial"/>
                <w:noProof/>
                <w:sz w:val="18"/>
                <w:szCs w:val="18"/>
              </w:rPr>
              <w:t>alignant syndrome (</w:t>
            </w:r>
            <w:r w:rsidR="003864CC">
              <w:rPr>
                <w:rFonts w:ascii="Arial" w:hAnsi="Arial" w:cs="Arial"/>
                <w:noProof/>
                <w:sz w:val="18"/>
                <w:szCs w:val="18"/>
              </w:rPr>
              <w:t xml:space="preserve">symtoms: </w:t>
            </w:r>
            <w:r w:rsidR="00D7511F" w:rsidRPr="00E86708">
              <w:rPr>
                <w:rFonts w:ascii="Arial" w:hAnsi="Arial" w:cs="Arial"/>
                <w:noProof/>
                <w:sz w:val="18"/>
                <w:szCs w:val="18"/>
              </w:rPr>
              <w:t>severe confusion or coma; difficult or fast breathing; drooling; fast heartbeat; high/low irregular blood pressure; increased sweating; loss of bladder control; severe muscle stiffness; t</w:t>
            </w:r>
            <w:r w:rsidR="003864CC">
              <w:rPr>
                <w:rFonts w:ascii="Arial" w:hAnsi="Arial" w:cs="Arial"/>
                <w:noProof/>
                <w:sz w:val="18"/>
                <w:szCs w:val="18"/>
              </w:rPr>
              <w:t xml:space="preserve">rembling or shaking; trouble with </w:t>
            </w:r>
            <w:r w:rsidR="00D7511F" w:rsidRPr="00E86708">
              <w:rPr>
                <w:rFonts w:ascii="Arial" w:hAnsi="Arial" w:cs="Arial"/>
                <w:noProof/>
                <w:sz w:val="18"/>
                <w:szCs w:val="18"/>
              </w:rPr>
              <w:t xml:space="preserve">speaking or swallowing); </w:t>
            </w:r>
            <w:r w:rsidR="003864CC">
              <w:rPr>
                <w:rFonts w:ascii="Arial" w:hAnsi="Arial" w:cs="Arial"/>
                <w:noProof/>
                <w:sz w:val="18"/>
                <w:szCs w:val="18"/>
              </w:rPr>
              <w:t xml:space="preserve">irregular </w:t>
            </w:r>
            <w:r w:rsidR="00D7511F" w:rsidRPr="00E86708">
              <w:rPr>
                <w:rFonts w:ascii="Arial" w:hAnsi="Arial" w:cs="Arial"/>
                <w:noProof/>
                <w:sz w:val="18"/>
                <w:szCs w:val="18"/>
              </w:rPr>
              <w:t>heart rate; recurrent fainting</w:t>
            </w:r>
            <w:r w:rsidR="00E86708">
              <w:rPr>
                <w:rFonts w:ascii="Arial" w:hAnsi="Arial" w:cs="Arial"/>
                <w:noProof/>
                <w:sz w:val="18"/>
                <w:szCs w:val="18"/>
              </w:rPr>
              <w:t>; inabitily to achieve ejaculation; glaucoma; seizure.</w:t>
            </w:r>
            <w:r w:rsidR="00D7511F" w:rsidRPr="00E86708">
              <w:rPr>
                <w:rFonts w:ascii="Arial" w:hAnsi="Arial" w:cs="Arial"/>
                <w:noProof/>
                <w:sz w:val="18"/>
                <w:szCs w:val="18"/>
              </w:rPr>
              <w:br/>
            </w:r>
          </w:p>
        </w:tc>
      </w:tr>
      <w:tr w:rsidR="003379BD" w:rsidTr="008768D6">
        <w:trPr>
          <w:trHeight w:val="576"/>
        </w:trPr>
        <w:tc>
          <w:tcPr>
            <w:tcW w:w="11448" w:type="dxa"/>
            <w:gridSpan w:val="2"/>
            <w:tcBorders>
              <w:top w:val="nil"/>
              <w:left w:val="nil"/>
              <w:bottom w:val="nil"/>
              <w:right w:val="nil"/>
            </w:tcBorders>
          </w:tcPr>
          <w:p w:rsidR="00823F5D" w:rsidRPr="00E86708" w:rsidRDefault="003379BD" w:rsidP="00823F5D">
            <w:pPr>
              <w:rPr>
                <w:rFonts w:ascii="Arial" w:hAnsi="Arial" w:cs="Arial"/>
                <w:snapToGrid w:val="0"/>
                <w:sz w:val="18"/>
                <w:szCs w:val="18"/>
              </w:rPr>
            </w:pPr>
            <w:r w:rsidRPr="00E86708">
              <w:rPr>
                <w:rFonts w:ascii="Arial" w:hAnsi="Arial" w:cs="Arial"/>
                <w:b/>
                <w:snapToGrid w:val="0"/>
                <w:sz w:val="18"/>
                <w:szCs w:val="18"/>
              </w:rPr>
              <w:t>Caution</w:t>
            </w:r>
            <w:r w:rsidR="00823F5D" w:rsidRPr="00E86708">
              <w:rPr>
                <w:rFonts w:ascii="Arial" w:hAnsi="Arial" w:cs="Arial"/>
                <w:b/>
                <w:snapToGrid w:val="0"/>
                <w:sz w:val="18"/>
                <w:szCs w:val="18"/>
              </w:rPr>
              <w:t xml:space="preserve"> </w:t>
            </w:r>
          </w:p>
          <w:p w:rsidR="00E86708" w:rsidRDefault="00E86708" w:rsidP="00823F5D">
            <w:pPr>
              <w:numPr>
                <w:ilvl w:val="0"/>
                <w:numId w:val="6"/>
              </w:numPr>
              <w:rPr>
                <w:rFonts w:ascii="Arial" w:hAnsi="Arial" w:cs="Arial"/>
                <w:snapToGrid w:val="0"/>
                <w:sz w:val="18"/>
                <w:szCs w:val="18"/>
              </w:rPr>
            </w:pPr>
            <w:r>
              <w:rPr>
                <w:rFonts w:ascii="Arial" w:hAnsi="Arial" w:cs="Arial"/>
                <w:b/>
                <w:snapToGrid w:val="0"/>
                <w:sz w:val="18"/>
                <w:szCs w:val="18"/>
              </w:rPr>
              <w:t>Alcohol</w:t>
            </w:r>
          </w:p>
          <w:p w:rsidR="00FD2325" w:rsidRPr="00E86708" w:rsidRDefault="00FD2325" w:rsidP="00E86708">
            <w:pPr>
              <w:ind w:left="720"/>
              <w:rPr>
                <w:rFonts w:ascii="Arial" w:hAnsi="Arial" w:cs="Arial"/>
                <w:snapToGrid w:val="0"/>
                <w:sz w:val="18"/>
                <w:szCs w:val="18"/>
              </w:rPr>
            </w:pPr>
            <w:r w:rsidRPr="00E86708">
              <w:rPr>
                <w:rFonts w:ascii="Arial" w:hAnsi="Arial" w:cs="Arial"/>
                <w:snapToGrid w:val="0"/>
                <w:sz w:val="18"/>
                <w:szCs w:val="18"/>
              </w:rPr>
              <w:t>Avoid drinking alcohol</w:t>
            </w:r>
            <w:r w:rsidR="00E86708">
              <w:rPr>
                <w:rFonts w:ascii="Arial" w:hAnsi="Arial" w:cs="Arial"/>
                <w:snapToGrid w:val="0"/>
                <w:sz w:val="18"/>
                <w:szCs w:val="18"/>
              </w:rPr>
              <w:t xml:space="preserve"> while taking this medication.</w:t>
            </w:r>
            <w:r w:rsidRPr="00E86708">
              <w:rPr>
                <w:rFonts w:ascii="Arial" w:hAnsi="Arial" w:cs="Arial"/>
                <w:snapToGrid w:val="0"/>
                <w:sz w:val="18"/>
                <w:szCs w:val="18"/>
              </w:rPr>
              <w:t xml:space="preserve"> </w:t>
            </w:r>
          </w:p>
          <w:p w:rsidR="00E86708" w:rsidRDefault="00E86708" w:rsidP="00823F5D">
            <w:pPr>
              <w:numPr>
                <w:ilvl w:val="0"/>
                <w:numId w:val="6"/>
              </w:numPr>
              <w:rPr>
                <w:rFonts w:ascii="Arial" w:hAnsi="Arial" w:cs="Arial"/>
                <w:snapToGrid w:val="0"/>
                <w:sz w:val="18"/>
                <w:szCs w:val="18"/>
              </w:rPr>
            </w:pPr>
            <w:r>
              <w:rPr>
                <w:rFonts w:ascii="Arial" w:hAnsi="Arial" w:cs="Arial"/>
                <w:b/>
                <w:snapToGrid w:val="0"/>
                <w:sz w:val="18"/>
                <w:szCs w:val="18"/>
              </w:rPr>
              <w:t>Driving and Operating Heavy Machinery</w:t>
            </w:r>
          </w:p>
          <w:p w:rsidR="003A706A" w:rsidRPr="00E86708" w:rsidRDefault="004A6B4F" w:rsidP="006B7D10">
            <w:pPr>
              <w:ind w:left="720"/>
              <w:rPr>
                <w:rFonts w:ascii="Arial" w:hAnsi="Arial" w:cs="Arial"/>
                <w:snapToGrid w:val="0"/>
                <w:sz w:val="18"/>
                <w:szCs w:val="18"/>
              </w:rPr>
            </w:pPr>
            <w:r>
              <w:rPr>
                <w:rFonts w:ascii="Arial" w:hAnsi="Arial" w:cs="Arial"/>
                <w:snapToGrid w:val="0"/>
                <w:sz w:val="18"/>
                <w:szCs w:val="18"/>
              </w:rPr>
              <w:t>This medication m</w:t>
            </w:r>
            <w:r w:rsidR="003A706A" w:rsidRPr="00E86708">
              <w:rPr>
                <w:rFonts w:ascii="Arial" w:hAnsi="Arial" w:cs="Arial"/>
                <w:snapToGrid w:val="0"/>
                <w:sz w:val="18"/>
                <w:szCs w:val="18"/>
              </w:rPr>
              <w:t>ay impair cognitive/motor performance, use caution operating machinery, driving, or anything else that could be dangerous if you are not alert and well able to control you movements</w:t>
            </w:r>
          </w:p>
          <w:p w:rsidR="00E86708" w:rsidRDefault="006B7D10" w:rsidP="00052FF7">
            <w:pPr>
              <w:numPr>
                <w:ilvl w:val="0"/>
                <w:numId w:val="6"/>
              </w:numPr>
              <w:rPr>
                <w:rFonts w:ascii="Arial" w:hAnsi="Arial" w:cs="Arial"/>
                <w:snapToGrid w:val="0"/>
                <w:sz w:val="18"/>
                <w:szCs w:val="18"/>
              </w:rPr>
            </w:pPr>
            <w:r>
              <w:rPr>
                <w:rFonts w:ascii="Arial" w:hAnsi="Arial" w:cs="Arial"/>
                <w:b/>
                <w:snapToGrid w:val="0"/>
                <w:sz w:val="18"/>
                <w:szCs w:val="18"/>
              </w:rPr>
              <w:t>History of Cardiovascular Disease/ Seizures</w:t>
            </w:r>
          </w:p>
          <w:p w:rsidR="00052FF7" w:rsidRPr="00E86708" w:rsidRDefault="00823F5D" w:rsidP="006B7D10">
            <w:pPr>
              <w:ind w:left="720"/>
              <w:rPr>
                <w:rFonts w:ascii="Arial" w:hAnsi="Arial" w:cs="Arial"/>
                <w:snapToGrid w:val="0"/>
                <w:sz w:val="18"/>
                <w:szCs w:val="18"/>
              </w:rPr>
            </w:pPr>
            <w:r w:rsidRPr="00E86708">
              <w:rPr>
                <w:rFonts w:ascii="Arial" w:hAnsi="Arial" w:cs="Arial"/>
                <w:snapToGrid w:val="0"/>
                <w:sz w:val="18"/>
                <w:szCs w:val="18"/>
              </w:rPr>
              <w:t>Use caution with severe cardiovascular disease, hepatic impairment, renal impairment, and with history of seizures</w:t>
            </w:r>
            <w:r w:rsidR="006B7D10">
              <w:rPr>
                <w:rFonts w:ascii="Arial" w:hAnsi="Arial" w:cs="Arial"/>
                <w:snapToGrid w:val="0"/>
                <w:sz w:val="18"/>
                <w:szCs w:val="18"/>
              </w:rPr>
              <w:t xml:space="preserve">. </w:t>
            </w:r>
          </w:p>
          <w:p w:rsidR="006B7D10" w:rsidRDefault="0073031A" w:rsidP="00823F5D">
            <w:pPr>
              <w:numPr>
                <w:ilvl w:val="0"/>
                <w:numId w:val="6"/>
              </w:numPr>
              <w:rPr>
                <w:rFonts w:ascii="Arial" w:hAnsi="Arial" w:cs="Arial"/>
                <w:snapToGrid w:val="0"/>
                <w:sz w:val="18"/>
                <w:szCs w:val="18"/>
              </w:rPr>
            </w:pPr>
            <w:r>
              <w:rPr>
                <w:rFonts w:ascii="Arial" w:hAnsi="Arial" w:cs="Arial"/>
                <w:b/>
                <w:snapToGrid w:val="0"/>
                <w:sz w:val="18"/>
                <w:szCs w:val="18"/>
              </w:rPr>
              <w:t>Fall</w:t>
            </w:r>
            <w:r w:rsidR="006B7D10">
              <w:rPr>
                <w:rFonts w:ascii="Arial" w:hAnsi="Arial" w:cs="Arial"/>
                <w:b/>
                <w:snapToGrid w:val="0"/>
                <w:sz w:val="18"/>
                <w:szCs w:val="18"/>
              </w:rPr>
              <w:t xml:space="preserve"> Risk</w:t>
            </w:r>
          </w:p>
          <w:p w:rsidR="003A706A" w:rsidRDefault="006B7D10" w:rsidP="006B7D10">
            <w:pPr>
              <w:ind w:left="720"/>
              <w:rPr>
                <w:rFonts w:ascii="Arial" w:hAnsi="Arial" w:cs="Arial"/>
                <w:snapToGrid w:val="0"/>
                <w:sz w:val="18"/>
                <w:szCs w:val="18"/>
              </w:rPr>
            </w:pPr>
            <w:r>
              <w:rPr>
                <w:rFonts w:ascii="Arial" w:hAnsi="Arial" w:cs="Arial"/>
                <w:snapToGrid w:val="0"/>
                <w:sz w:val="18"/>
                <w:szCs w:val="18"/>
              </w:rPr>
              <w:t>This drug m</w:t>
            </w:r>
            <w:r w:rsidR="003A706A" w:rsidRPr="00E86708">
              <w:rPr>
                <w:rFonts w:ascii="Arial" w:hAnsi="Arial" w:cs="Arial"/>
                <w:snapToGrid w:val="0"/>
                <w:sz w:val="18"/>
                <w:szCs w:val="18"/>
              </w:rPr>
              <w:t>ay increase risk of falls</w:t>
            </w:r>
            <w:r>
              <w:rPr>
                <w:rFonts w:ascii="Arial" w:hAnsi="Arial" w:cs="Arial"/>
                <w:snapToGrid w:val="0"/>
                <w:sz w:val="18"/>
                <w:szCs w:val="18"/>
              </w:rPr>
              <w:t>.</w:t>
            </w:r>
            <w:r w:rsidR="0054411B">
              <w:rPr>
                <w:rFonts w:ascii="Arial" w:hAnsi="Arial" w:cs="Arial"/>
                <w:snapToGrid w:val="0"/>
                <w:sz w:val="18"/>
                <w:szCs w:val="18"/>
              </w:rPr>
              <w:t xml:space="preserve"> Use caution in the elderly and those with a history of falls.</w:t>
            </w:r>
          </w:p>
          <w:p w:rsidR="0073031A" w:rsidRPr="0073031A" w:rsidRDefault="0073031A" w:rsidP="0073031A">
            <w:pPr>
              <w:numPr>
                <w:ilvl w:val="0"/>
                <w:numId w:val="6"/>
              </w:numPr>
              <w:rPr>
                <w:rFonts w:ascii="Arial" w:hAnsi="Arial" w:cs="Arial"/>
                <w:snapToGrid w:val="0"/>
                <w:sz w:val="18"/>
                <w:szCs w:val="18"/>
              </w:rPr>
            </w:pPr>
            <w:r>
              <w:rPr>
                <w:rFonts w:ascii="Arial" w:hAnsi="Arial" w:cs="Arial"/>
                <w:b/>
                <w:snapToGrid w:val="0"/>
                <w:sz w:val="18"/>
                <w:szCs w:val="18"/>
              </w:rPr>
              <w:t>Orthostatic Hypotension</w:t>
            </w:r>
          </w:p>
          <w:p w:rsidR="0073031A" w:rsidRPr="0073031A" w:rsidRDefault="0073031A" w:rsidP="0073031A">
            <w:pPr>
              <w:ind w:left="720"/>
              <w:rPr>
                <w:rFonts w:ascii="Arial" w:hAnsi="Arial" w:cs="Arial"/>
                <w:snapToGrid w:val="0"/>
                <w:sz w:val="18"/>
                <w:szCs w:val="18"/>
              </w:rPr>
            </w:pPr>
            <w:r>
              <w:rPr>
                <w:rFonts w:ascii="Arial" w:hAnsi="Arial" w:cs="Arial"/>
                <w:snapToGrid w:val="0"/>
                <w:sz w:val="18"/>
                <w:szCs w:val="18"/>
              </w:rPr>
              <w:t>This medication may cause dizziness upon standing. Please use caution by standing slowly from a seated or lying position.</w:t>
            </w:r>
          </w:p>
          <w:p w:rsidR="006B7D10" w:rsidRDefault="006B7D10" w:rsidP="00052FF7">
            <w:pPr>
              <w:numPr>
                <w:ilvl w:val="0"/>
                <w:numId w:val="6"/>
              </w:numPr>
              <w:rPr>
                <w:rFonts w:ascii="Arial" w:hAnsi="Arial" w:cs="Arial"/>
                <w:snapToGrid w:val="0"/>
                <w:sz w:val="18"/>
                <w:szCs w:val="18"/>
              </w:rPr>
            </w:pPr>
            <w:r>
              <w:rPr>
                <w:rFonts w:ascii="Arial" w:hAnsi="Arial" w:cs="Arial"/>
                <w:b/>
                <w:snapToGrid w:val="0"/>
                <w:sz w:val="18"/>
                <w:szCs w:val="18"/>
              </w:rPr>
              <w:t>Withdrawal</w:t>
            </w:r>
          </w:p>
          <w:p w:rsidR="00052FF7" w:rsidRDefault="00823F5D" w:rsidP="006B7D10">
            <w:pPr>
              <w:ind w:left="720"/>
              <w:rPr>
                <w:rFonts w:ascii="Arial" w:hAnsi="Arial" w:cs="Arial"/>
                <w:snapToGrid w:val="0"/>
                <w:sz w:val="18"/>
                <w:szCs w:val="18"/>
              </w:rPr>
            </w:pPr>
            <w:r w:rsidRPr="00E86708">
              <w:rPr>
                <w:rFonts w:ascii="Arial" w:hAnsi="Arial" w:cs="Arial"/>
                <w:snapToGrid w:val="0"/>
                <w:sz w:val="18"/>
                <w:szCs w:val="18"/>
              </w:rPr>
              <w:t>Stopping</w:t>
            </w:r>
            <w:r w:rsidR="006B7D10">
              <w:rPr>
                <w:rFonts w:ascii="Arial" w:hAnsi="Arial" w:cs="Arial"/>
                <w:snapToGrid w:val="0"/>
                <w:sz w:val="18"/>
                <w:szCs w:val="18"/>
              </w:rPr>
              <w:t xml:space="preserve"> this</w:t>
            </w:r>
            <w:r w:rsidRPr="00E86708">
              <w:rPr>
                <w:rFonts w:ascii="Arial" w:hAnsi="Arial" w:cs="Arial"/>
                <w:snapToGrid w:val="0"/>
                <w:sz w:val="18"/>
                <w:szCs w:val="18"/>
              </w:rPr>
              <w:t xml:space="preserve"> medication abruptly may cause</w:t>
            </w:r>
            <w:r w:rsidR="00D7511F" w:rsidRPr="00E86708">
              <w:rPr>
                <w:rFonts w:ascii="Arial" w:hAnsi="Arial" w:cs="Arial"/>
                <w:snapToGrid w:val="0"/>
                <w:sz w:val="18"/>
                <w:szCs w:val="18"/>
              </w:rPr>
              <w:t xml:space="preserve"> physical withdrawal symptoms</w:t>
            </w:r>
            <w:r w:rsidR="006B7D10">
              <w:rPr>
                <w:rFonts w:ascii="Arial" w:hAnsi="Arial" w:cs="Arial"/>
                <w:snapToGrid w:val="0"/>
                <w:sz w:val="18"/>
                <w:szCs w:val="18"/>
              </w:rPr>
              <w:t>.</w:t>
            </w:r>
            <w:r w:rsidR="00D7511F" w:rsidRPr="00E86708">
              <w:rPr>
                <w:rFonts w:ascii="Arial" w:hAnsi="Arial" w:cs="Arial"/>
                <w:snapToGrid w:val="0"/>
                <w:sz w:val="18"/>
                <w:szCs w:val="18"/>
              </w:rPr>
              <w:t xml:space="preserve"> </w:t>
            </w:r>
            <w:r w:rsidR="0054411B">
              <w:rPr>
                <w:rFonts w:ascii="Arial" w:hAnsi="Arial" w:cs="Arial"/>
                <w:snapToGrid w:val="0"/>
                <w:sz w:val="18"/>
                <w:szCs w:val="18"/>
              </w:rPr>
              <w:t>Please speak with your doctor before stopping this medication.</w:t>
            </w:r>
          </w:p>
          <w:p w:rsidR="0026481A" w:rsidRDefault="0026481A" w:rsidP="0026481A">
            <w:pPr>
              <w:numPr>
                <w:ilvl w:val="0"/>
                <w:numId w:val="7"/>
              </w:numPr>
              <w:rPr>
                <w:rFonts w:ascii="Arial" w:hAnsi="Arial" w:cs="Arial"/>
                <w:snapToGrid w:val="0"/>
                <w:color w:val="000000"/>
                <w:sz w:val="18"/>
                <w:szCs w:val="18"/>
              </w:rPr>
            </w:pPr>
            <w:r>
              <w:rPr>
                <w:rFonts w:ascii="Arial" w:hAnsi="Arial" w:cs="Arial"/>
                <w:b/>
                <w:snapToGrid w:val="0"/>
                <w:color w:val="000000"/>
                <w:sz w:val="18"/>
                <w:szCs w:val="18"/>
              </w:rPr>
              <w:t>Tardive D</w:t>
            </w:r>
            <w:r w:rsidRPr="00D31B68">
              <w:rPr>
                <w:rFonts w:ascii="Arial" w:hAnsi="Arial" w:cs="Arial"/>
                <w:b/>
                <w:snapToGrid w:val="0"/>
                <w:color w:val="000000"/>
                <w:sz w:val="18"/>
                <w:szCs w:val="18"/>
              </w:rPr>
              <w:t>yskinesia</w:t>
            </w:r>
            <w:r w:rsidRPr="008D4E55">
              <w:rPr>
                <w:rFonts w:ascii="Arial" w:hAnsi="Arial" w:cs="Arial"/>
                <w:snapToGrid w:val="0"/>
                <w:color w:val="000000"/>
                <w:sz w:val="18"/>
                <w:szCs w:val="18"/>
              </w:rPr>
              <w:t xml:space="preserve"> </w:t>
            </w:r>
          </w:p>
          <w:p w:rsidR="0026481A" w:rsidRPr="008D4E55" w:rsidRDefault="0026481A" w:rsidP="0026481A">
            <w:pPr>
              <w:ind w:left="720"/>
              <w:rPr>
                <w:rFonts w:ascii="Arial" w:hAnsi="Arial" w:cs="Arial"/>
                <w:snapToGrid w:val="0"/>
                <w:color w:val="000000"/>
                <w:sz w:val="18"/>
                <w:szCs w:val="18"/>
              </w:rPr>
            </w:pPr>
            <w:r w:rsidRPr="00677796">
              <w:rPr>
                <w:rFonts w:ascii="Arial" w:hAnsi="Arial" w:cs="Arial"/>
                <w:sz w:val="18"/>
                <w:szCs w:val="18"/>
              </w:rPr>
              <w:t>Abnormal movements that you cannot control in your face, tongue or other body parts. Tardive dyskinesia may not go away,</w:t>
            </w:r>
            <w:r w:rsidR="00A16FC0">
              <w:rPr>
                <w:rFonts w:ascii="Arial" w:hAnsi="Arial" w:cs="Arial"/>
                <w:sz w:val="18"/>
                <w:szCs w:val="18"/>
              </w:rPr>
              <w:t xml:space="preserve"> even if you stop taking PROLIXIN</w:t>
            </w:r>
            <w:r>
              <w:rPr>
                <w:rFonts w:ascii="Arial" w:hAnsi="Arial" w:cs="Arial"/>
                <w:sz w:val="18"/>
                <w:szCs w:val="18"/>
              </w:rPr>
              <w:t xml:space="preserve">. </w:t>
            </w:r>
            <w:r>
              <w:rPr>
                <w:rFonts w:ascii="Arial" w:hAnsi="Arial" w:cs="Arial"/>
                <w:snapToGrid w:val="0"/>
                <w:color w:val="000000"/>
                <w:sz w:val="18"/>
                <w:szCs w:val="18"/>
              </w:rPr>
              <w:t xml:space="preserve">This </w:t>
            </w:r>
            <w:r w:rsidRPr="008D4E55">
              <w:rPr>
                <w:rFonts w:ascii="Arial" w:hAnsi="Arial" w:cs="Arial"/>
                <w:snapToGrid w:val="0"/>
                <w:color w:val="000000"/>
                <w:sz w:val="18"/>
                <w:szCs w:val="18"/>
              </w:rPr>
              <w:t>may occur, with increased risk among elderly, especially elderly women, and patients treated with higher cumulative doses or longer treatment duration; discontinuation may be required.</w:t>
            </w:r>
          </w:p>
          <w:p w:rsidR="00E86708" w:rsidRPr="00E86708" w:rsidRDefault="00E86708" w:rsidP="00E86708">
            <w:pPr>
              <w:rPr>
                <w:rFonts w:ascii="Arial" w:hAnsi="Arial" w:cs="Arial"/>
                <w:snapToGrid w:val="0"/>
                <w:sz w:val="18"/>
                <w:szCs w:val="18"/>
              </w:rPr>
            </w:pPr>
          </w:p>
          <w:p w:rsidR="00E86708" w:rsidRPr="00E86708" w:rsidRDefault="00E86708" w:rsidP="00E86708">
            <w:pPr>
              <w:rPr>
                <w:rFonts w:ascii="Arial" w:hAnsi="Arial" w:cs="Arial"/>
                <w:b/>
                <w:snapToGrid w:val="0"/>
                <w:sz w:val="18"/>
                <w:szCs w:val="18"/>
              </w:rPr>
            </w:pPr>
            <w:r w:rsidRPr="00E86708">
              <w:rPr>
                <w:rFonts w:ascii="Arial" w:hAnsi="Arial" w:cs="Arial"/>
                <w:b/>
                <w:snapToGrid w:val="0"/>
                <w:sz w:val="18"/>
                <w:szCs w:val="18"/>
              </w:rPr>
              <w:t xml:space="preserve">Warning: </w:t>
            </w:r>
          </w:p>
          <w:p w:rsidR="00E86708" w:rsidRPr="00E86708" w:rsidRDefault="00E86708" w:rsidP="00E86708">
            <w:pPr>
              <w:rPr>
                <w:rFonts w:ascii="Arial" w:hAnsi="Arial" w:cs="Arial"/>
                <w:b/>
                <w:snapToGrid w:val="0"/>
                <w:sz w:val="18"/>
                <w:szCs w:val="18"/>
              </w:rPr>
            </w:pPr>
          </w:p>
          <w:p w:rsidR="00E86708" w:rsidRPr="00E86708" w:rsidRDefault="00E86708" w:rsidP="00E86708">
            <w:pPr>
              <w:rPr>
                <w:rFonts w:ascii="Arial" w:hAnsi="Arial" w:cs="Arial"/>
                <w:b/>
                <w:snapToGrid w:val="0"/>
                <w:sz w:val="18"/>
                <w:szCs w:val="18"/>
              </w:rPr>
            </w:pPr>
            <w:r w:rsidRPr="00E86708">
              <w:rPr>
                <w:rFonts w:ascii="Arial" w:hAnsi="Arial" w:cs="Arial"/>
                <w:b/>
                <w:snapToGrid w:val="0"/>
                <w:sz w:val="18"/>
                <w:szCs w:val="18"/>
              </w:rPr>
              <w:t>[Black Box Warning]: Increased mortality in elderly patients with dementia-related psychosis:</w:t>
            </w:r>
          </w:p>
          <w:p w:rsidR="00E86708" w:rsidRPr="00E86708" w:rsidRDefault="00E86708" w:rsidP="00E86708">
            <w:pPr>
              <w:rPr>
                <w:rFonts w:ascii="Arial" w:hAnsi="Arial" w:cs="Arial"/>
                <w:b/>
                <w:snapToGrid w:val="0"/>
                <w:sz w:val="18"/>
                <w:szCs w:val="18"/>
              </w:rPr>
            </w:pPr>
            <w:r w:rsidRPr="00E86708">
              <w:rPr>
                <w:rFonts w:ascii="Arial" w:hAnsi="Arial" w:cs="Arial"/>
                <w:sz w:val="18"/>
                <w:szCs w:val="18"/>
              </w:rPr>
              <w:t>Elderly patients with dementia-related psychosis treated with antipsychotic drugs are at an increased risk of death. Analyses of 17 placebo-controlled trials (modal duration of 10 weeks), largely in patients taking atypical antipsychotic drugs, revealed a risk of death in drug-treated patients of between 1.6 to 1.7 times the risk of death in placebo-treated patients. Over the course of a typical 10-week controlled trial, the rate of death in drug-treated patients was about 4.5% compared with a rate of about 2.6% in the placebo group. Although the causes of death were varied, most of the deaths appeared to be either cardiovascular (</w:t>
            </w:r>
            <w:proofErr w:type="spellStart"/>
            <w:r w:rsidRPr="00E86708">
              <w:rPr>
                <w:rFonts w:ascii="Arial" w:hAnsi="Arial" w:cs="Arial"/>
                <w:sz w:val="18"/>
                <w:szCs w:val="18"/>
              </w:rPr>
              <w:t>eg</w:t>
            </w:r>
            <w:proofErr w:type="spellEnd"/>
            <w:r w:rsidRPr="00E86708">
              <w:rPr>
                <w:rFonts w:ascii="Arial" w:hAnsi="Arial" w:cs="Arial"/>
                <w:sz w:val="18"/>
                <w:szCs w:val="18"/>
              </w:rPr>
              <w:t>, heart failure, sudden death) or infectious (</w:t>
            </w:r>
            <w:proofErr w:type="spellStart"/>
            <w:r w:rsidRPr="00E86708">
              <w:rPr>
                <w:rFonts w:ascii="Arial" w:hAnsi="Arial" w:cs="Arial"/>
                <w:sz w:val="18"/>
                <w:szCs w:val="18"/>
              </w:rPr>
              <w:t>eg</w:t>
            </w:r>
            <w:proofErr w:type="spellEnd"/>
            <w:r w:rsidRPr="00E86708">
              <w:rPr>
                <w:rFonts w:ascii="Arial" w:hAnsi="Arial" w:cs="Arial"/>
                <w:sz w:val="18"/>
                <w:szCs w:val="18"/>
              </w:rPr>
              <w:t xml:space="preserve">,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 </w:t>
            </w:r>
            <w:proofErr w:type="spellStart"/>
            <w:r w:rsidRPr="00E86708">
              <w:rPr>
                <w:rFonts w:ascii="Arial" w:hAnsi="Arial" w:cs="Arial"/>
                <w:sz w:val="18"/>
                <w:szCs w:val="18"/>
              </w:rPr>
              <w:t>Fluphenazine</w:t>
            </w:r>
            <w:proofErr w:type="spellEnd"/>
            <w:r w:rsidRPr="00E86708">
              <w:rPr>
                <w:rFonts w:ascii="Arial" w:hAnsi="Arial" w:cs="Arial"/>
                <w:sz w:val="18"/>
                <w:szCs w:val="18"/>
              </w:rPr>
              <w:t xml:space="preserve"> is not approved for the treatment of patients with dementia-related psychosis.</w:t>
            </w:r>
            <w:r w:rsidRPr="00E86708">
              <w:rPr>
                <w:rFonts w:ascii="Arial" w:hAnsi="Arial" w:cs="Arial"/>
                <w:b/>
                <w:snapToGrid w:val="0"/>
                <w:sz w:val="18"/>
                <w:szCs w:val="18"/>
              </w:rPr>
              <w:t xml:space="preserve"> </w:t>
            </w:r>
          </w:p>
          <w:p w:rsidR="00D7511F" w:rsidRPr="00E86708" w:rsidRDefault="00D7511F" w:rsidP="00D7511F">
            <w:pPr>
              <w:ind w:left="720"/>
              <w:rPr>
                <w:rFonts w:ascii="Arial" w:hAnsi="Arial" w:cs="Arial"/>
                <w:snapToGrid w:val="0"/>
                <w:sz w:val="18"/>
                <w:szCs w:val="18"/>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Pr="00E86708" w:rsidRDefault="003379BD" w:rsidP="005325D4">
            <w:pPr>
              <w:rPr>
                <w:rFonts w:ascii="Arial" w:hAnsi="Arial" w:cs="Arial"/>
                <w:sz w:val="18"/>
              </w:rPr>
            </w:pPr>
            <w:r w:rsidRPr="00E86708">
              <w:rPr>
                <w:rFonts w:ascii="Arial" w:hAnsi="Arial" w:cs="Arial"/>
                <w:sz w:val="18"/>
              </w:rPr>
              <w:t xml:space="preserve">See PDR for </w:t>
            </w:r>
            <w:r w:rsidR="005325D4" w:rsidRPr="00E86708">
              <w:rPr>
                <w:rFonts w:ascii="Arial" w:hAnsi="Arial" w:cs="Arial"/>
                <w:sz w:val="18"/>
              </w:rPr>
              <w:t xml:space="preserve">an </w:t>
            </w:r>
            <w:r w:rsidRPr="00E86708">
              <w:rPr>
                <w:rFonts w:ascii="Arial" w:hAnsi="Arial" w:cs="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Pr="00B85BB7" w:rsidRDefault="0021563E">
      <w:pPr>
        <w:rPr>
          <w:rFonts w:ascii="Arial" w:hAnsi="Arial"/>
          <w:b/>
          <w:sz w:val="2"/>
          <w:szCs w:val="2"/>
        </w:rPr>
        <w:sectPr w:rsidR="0021563E" w:rsidRPr="00B85BB7"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89" w:rsidRDefault="00876489" w:rsidP="007A6FC3">
      <w:r>
        <w:separator/>
      </w:r>
    </w:p>
  </w:endnote>
  <w:endnote w:type="continuationSeparator" w:id="0">
    <w:p w:rsidR="00876489" w:rsidRDefault="00876489"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05EF3">
      <w:rPr>
        <w:rStyle w:val="PageNumber"/>
      </w:rPr>
      <w:fldChar w:fldCharType="separate"/>
    </w:r>
    <w:r w:rsidR="00205EF3">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EF3">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EF3">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89" w:rsidRDefault="00876489" w:rsidP="007A6FC3">
      <w:r>
        <w:separator/>
      </w:r>
    </w:p>
  </w:footnote>
  <w:footnote w:type="continuationSeparator" w:id="0">
    <w:p w:rsidR="00876489" w:rsidRDefault="00876489"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7E348F8"/>
    <w:multiLevelType w:val="hybridMultilevel"/>
    <w:tmpl w:val="42F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3B2B"/>
    <w:multiLevelType w:val="hybridMultilevel"/>
    <w:tmpl w:val="375A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6" w15:restartNumberingAfterBreak="0">
    <w:nsid w:val="7EA96DE5"/>
    <w:multiLevelType w:val="hybridMultilevel"/>
    <w:tmpl w:val="7D3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d1K6dLfLUSdHLuV6Ecz1+gQ1dlyEHa5XG7S4oB+F8lul+yyv9yWq3Cl46eF6uevyfNQR4skoFDz8tV4Mxpkw==" w:salt="nrYaoT/m3GgjOrlwJ28Td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52FF7"/>
    <w:rsid w:val="00057F83"/>
    <w:rsid w:val="00065117"/>
    <w:rsid w:val="000755E2"/>
    <w:rsid w:val="00082C72"/>
    <w:rsid w:val="00097390"/>
    <w:rsid w:val="000C193D"/>
    <w:rsid w:val="000D21BF"/>
    <w:rsid w:val="000E25AD"/>
    <w:rsid w:val="00101422"/>
    <w:rsid w:val="0018307F"/>
    <w:rsid w:val="001B5568"/>
    <w:rsid w:val="00205EF3"/>
    <w:rsid w:val="0021563E"/>
    <w:rsid w:val="0026481A"/>
    <w:rsid w:val="00295B89"/>
    <w:rsid w:val="002C31E0"/>
    <w:rsid w:val="00311731"/>
    <w:rsid w:val="0031599E"/>
    <w:rsid w:val="003379BD"/>
    <w:rsid w:val="003864CC"/>
    <w:rsid w:val="003A15FD"/>
    <w:rsid w:val="003A706A"/>
    <w:rsid w:val="003B2EF9"/>
    <w:rsid w:val="003B70D9"/>
    <w:rsid w:val="003D1746"/>
    <w:rsid w:val="003D356D"/>
    <w:rsid w:val="003E29B2"/>
    <w:rsid w:val="00404584"/>
    <w:rsid w:val="004322CC"/>
    <w:rsid w:val="00450624"/>
    <w:rsid w:val="004553BF"/>
    <w:rsid w:val="00464819"/>
    <w:rsid w:val="0047002C"/>
    <w:rsid w:val="004A6B4F"/>
    <w:rsid w:val="004B0216"/>
    <w:rsid w:val="004D379B"/>
    <w:rsid w:val="005325D4"/>
    <w:rsid w:val="00541349"/>
    <w:rsid w:val="0054411B"/>
    <w:rsid w:val="005508EB"/>
    <w:rsid w:val="0056414C"/>
    <w:rsid w:val="00573C55"/>
    <w:rsid w:val="0059662D"/>
    <w:rsid w:val="005A70E2"/>
    <w:rsid w:val="005C03B7"/>
    <w:rsid w:val="00606B81"/>
    <w:rsid w:val="00621771"/>
    <w:rsid w:val="00622264"/>
    <w:rsid w:val="00644115"/>
    <w:rsid w:val="0064565E"/>
    <w:rsid w:val="00652C1F"/>
    <w:rsid w:val="00653309"/>
    <w:rsid w:val="006811DB"/>
    <w:rsid w:val="00683097"/>
    <w:rsid w:val="006B7A42"/>
    <w:rsid w:val="006B7D10"/>
    <w:rsid w:val="0073031A"/>
    <w:rsid w:val="0076102A"/>
    <w:rsid w:val="00773EB1"/>
    <w:rsid w:val="00775C94"/>
    <w:rsid w:val="00796E92"/>
    <w:rsid w:val="007A6FC3"/>
    <w:rsid w:val="007B70D7"/>
    <w:rsid w:val="007F44C1"/>
    <w:rsid w:val="00823F5D"/>
    <w:rsid w:val="00876489"/>
    <w:rsid w:val="008768D6"/>
    <w:rsid w:val="008D1C36"/>
    <w:rsid w:val="008F6841"/>
    <w:rsid w:val="00906CC1"/>
    <w:rsid w:val="00916D82"/>
    <w:rsid w:val="009266B7"/>
    <w:rsid w:val="00927055"/>
    <w:rsid w:val="00934FD5"/>
    <w:rsid w:val="00934FEE"/>
    <w:rsid w:val="00944CA8"/>
    <w:rsid w:val="009B59D3"/>
    <w:rsid w:val="009F4DF9"/>
    <w:rsid w:val="00A16FC0"/>
    <w:rsid w:val="00A22DDB"/>
    <w:rsid w:val="00A60207"/>
    <w:rsid w:val="00A609E9"/>
    <w:rsid w:val="00A82888"/>
    <w:rsid w:val="00AA7ED4"/>
    <w:rsid w:val="00AB1650"/>
    <w:rsid w:val="00AD441D"/>
    <w:rsid w:val="00AE2B8A"/>
    <w:rsid w:val="00B1786E"/>
    <w:rsid w:val="00B17BA2"/>
    <w:rsid w:val="00B24943"/>
    <w:rsid w:val="00B408B1"/>
    <w:rsid w:val="00B47C64"/>
    <w:rsid w:val="00B64324"/>
    <w:rsid w:val="00B82162"/>
    <w:rsid w:val="00B83999"/>
    <w:rsid w:val="00B85BB7"/>
    <w:rsid w:val="00C3690E"/>
    <w:rsid w:val="00C60F1F"/>
    <w:rsid w:val="00C64804"/>
    <w:rsid w:val="00CA50AC"/>
    <w:rsid w:val="00CA71B6"/>
    <w:rsid w:val="00CA7C90"/>
    <w:rsid w:val="00CC38B1"/>
    <w:rsid w:val="00CC7A80"/>
    <w:rsid w:val="00CF16BF"/>
    <w:rsid w:val="00D37B03"/>
    <w:rsid w:val="00D40FF6"/>
    <w:rsid w:val="00D7511F"/>
    <w:rsid w:val="00D77F6A"/>
    <w:rsid w:val="00DE5671"/>
    <w:rsid w:val="00DF0FF9"/>
    <w:rsid w:val="00E02750"/>
    <w:rsid w:val="00E7205C"/>
    <w:rsid w:val="00E86708"/>
    <w:rsid w:val="00E92D7A"/>
    <w:rsid w:val="00EA1297"/>
    <w:rsid w:val="00EE5A08"/>
    <w:rsid w:val="00EE7B2E"/>
    <w:rsid w:val="00EF5F71"/>
    <w:rsid w:val="00F036C3"/>
    <w:rsid w:val="00F55DC4"/>
    <w:rsid w:val="00F63058"/>
    <w:rsid w:val="00FC045A"/>
    <w:rsid w:val="00FD0019"/>
    <w:rsid w:val="00FD2325"/>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4E14394"/>
  <w15:chartTrackingRefBased/>
  <w15:docId w15:val="{5ACF1823-04E4-466F-921F-EC5A820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5EF3"/>
    <w:rPr>
      <w:rFonts w:ascii="Segoe UI" w:hAnsi="Segoe UI" w:cs="Segoe UI"/>
      <w:sz w:val="18"/>
      <w:szCs w:val="18"/>
    </w:rPr>
  </w:style>
  <w:style w:type="character" w:customStyle="1" w:styleId="BalloonTextChar">
    <w:name w:val="Balloon Text Char"/>
    <w:basedOn w:val="DefaultParagraphFont"/>
    <w:link w:val="BalloonText"/>
    <w:rsid w:val="00205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subject/>
  <dc:creator>WI DHS</dc:creator>
  <cp:keywords>f24277, dde4277, dctf4277, informed consent, medication</cp:keywords>
  <cp:lastModifiedBy>Pritchard, James B</cp:lastModifiedBy>
  <cp:revision>4</cp:revision>
  <cp:lastPrinted>2020-06-17T16:34:00Z</cp:lastPrinted>
  <dcterms:created xsi:type="dcterms:W3CDTF">2020-06-17T16:20:00Z</dcterms:created>
  <dcterms:modified xsi:type="dcterms:W3CDTF">2020-06-17T16:35:00Z</dcterms:modified>
</cp:coreProperties>
</file>