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1A87FC8D"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500785F2" w:rsidR="003379BD" w:rsidRDefault="003229C5" w:rsidP="006B7A42">
            <w:pPr>
              <w:rPr>
                <w:sz w:val="22"/>
              </w:rPr>
            </w:pPr>
            <w:r w:rsidRPr="003229C5">
              <w:rPr>
                <w:sz w:val="22"/>
              </w:rPr>
              <w:t>Antidepressant (SNRI)</w:t>
            </w:r>
          </w:p>
        </w:tc>
        <w:tc>
          <w:tcPr>
            <w:tcW w:w="3420" w:type="dxa"/>
            <w:gridSpan w:val="5"/>
            <w:tcBorders>
              <w:top w:val="single" w:sz="4" w:space="0" w:color="auto"/>
              <w:bottom w:val="single" w:sz="4" w:space="0" w:color="auto"/>
              <w:right w:val="nil"/>
            </w:tcBorders>
          </w:tcPr>
          <w:p w14:paraId="2981A94E" w14:textId="77777777" w:rsidR="003229C5" w:rsidRPr="003229C5" w:rsidRDefault="003229C5" w:rsidP="003229C5">
            <w:pPr>
              <w:rPr>
                <w:sz w:val="22"/>
              </w:rPr>
            </w:pPr>
            <w:r w:rsidRPr="003229C5">
              <w:rPr>
                <w:sz w:val="22"/>
              </w:rPr>
              <w:t>Pristiq®</w:t>
            </w:r>
          </w:p>
          <w:p w14:paraId="7A26C4B6" w14:textId="6E48E116" w:rsidR="003379BD" w:rsidRDefault="003229C5" w:rsidP="003229C5">
            <w:pPr>
              <w:tabs>
                <w:tab w:val="left" w:pos="702"/>
                <w:tab w:val="left" w:pos="882"/>
                <w:tab w:val="left" w:pos="1152"/>
                <w:tab w:val="left" w:pos="1602"/>
              </w:tabs>
              <w:rPr>
                <w:sz w:val="22"/>
              </w:rPr>
            </w:pPr>
            <w:r w:rsidRPr="003229C5">
              <w:rPr>
                <w:sz w:val="22"/>
              </w:rPr>
              <w:t>(desvenlafaxine)</w:t>
            </w:r>
          </w:p>
        </w:tc>
        <w:tc>
          <w:tcPr>
            <w:tcW w:w="3420" w:type="dxa"/>
            <w:gridSpan w:val="3"/>
            <w:tcBorders>
              <w:top w:val="single" w:sz="4" w:space="0" w:color="auto"/>
              <w:bottom w:val="single" w:sz="4" w:space="0" w:color="auto"/>
              <w:right w:val="nil"/>
            </w:tcBorders>
            <w:vAlign w:val="center"/>
          </w:tcPr>
          <w:p w14:paraId="3C5583EA" w14:textId="36C70329" w:rsidR="003379BD" w:rsidRDefault="003229C5">
            <w:pPr>
              <w:tabs>
                <w:tab w:val="left" w:pos="702"/>
                <w:tab w:val="left" w:pos="882"/>
                <w:tab w:val="left" w:pos="1152"/>
                <w:tab w:val="left" w:pos="1602"/>
              </w:tabs>
              <w:rPr>
                <w:sz w:val="22"/>
              </w:rPr>
            </w:pPr>
            <w:r w:rsidRPr="003229C5">
              <w:rPr>
                <w:sz w:val="22"/>
              </w:rPr>
              <w:t>25 mg - 100 mg by mouth daily</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70665B">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70665B">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70665B">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70665B">
              <w:rPr>
                <w:rFonts w:ascii="Arial" w:hAnsi="Arial"/>
                <w:sz w:val="18"/>
              </w:rPr>
            </w:r>
            <w:r w:rsidR="0070665B">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70665B">
              <w:rPr>
                <w:rFonts w:ascii="Arial" w:hAnsi="Arial"/>
                <w:sz w:val="18"/>
              </w:rPr>
            </w:r>
            <w:r w:rsidR="0070665B">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70665B">
              <w:rPr>
                <w:rFonts w:ascii="Arial" w:hAnsi="Arial"/>
                <w:sz w:val="18"/>
              </w:rPr>
            </w:r>
            <w:r w:rsidR="0070665B">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70665B">
              <w:rPr>
                <w:rFonts w:ascii="Arial" w:hAnsi="Arial"/>
                <w:sz w:val="18"/>
              </w:rPr>
            </w:r>
            <w:r w:rsidR="0070665B">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70665B">
              <w:rPr>
                <w:rFonts w:ascii="Arial" w:hAnsi="Arial"/>
                <w:sz w:val="18"/>
              </w:rPr>
            </w:r>
            <w:r w:rsidR="0070665B">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70665B">
              <w:rPr>
                <w:rFonts w:ascii="Arial" w:hAnsi="Arial"/>
                <w:sz w:val="18"/>
              </w:rPr>
            </w:r>
            <w:r w:rsidR="0070665B">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70665B">
              <w:rPr>
                <w:b w:val="0"/>
              </w:rPr>
            </w:r>
            <w:r w:rsidR="0070665B">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70665B">
              <w:rPr>
                <w:b w:val="0"/>
              </w:rPr>
            </w:r>
            <w:r w:rsidR="0070665B">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70665B">
              <w:rPr>
                <w:b w:val="0"/>
              </w:rPr>
            </w:r>
            <w:r w:rsidR="0070665B">
              <w:rPr>
                <w:b w:val="0"/>
              </w:rPr>
              <w:fldChar w:fldCharType="separate"/>
            </w:r>
            <w:r>
              <w:rPr>
                <w:b w:val="0"/>
              </w:rPr>
              <w:fldChar w:fldCharType="end"/>
            </w:r>
            <w:bookmarkEnd w:id="19"/>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0"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70665B">
              <w:rPr>
                <w:b w:val="0"/>
              </w:rPr>
            </w:r>
            <w:r w:rsidR="0070665B">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70665B">
              <w:rPr>
                <w:b w:val="0"/>
              </w:rPr>
            </w:r>
            <w:r w:rsidR="0070665B">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70665B">
              <w:rPr>
                <w:b w:val="0"/>
              </w:rPr>
            </w:r>
            <w:r w:rsidR="0070665B">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70665B">
              <w:rPr>
                <w:b w:val="0"/>
              </w:rPr>
            </w:r>
            <w:r w:rsidR="0070665B">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70665B">
              <w:rPr>
                <w:b w:val="0"/>
              </w:rPr>
            </w:r>
            <w:r w:rsidR="0070665B">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70665B">
              <w:rPr>
                <w:b w:val="0"/>
              </w:rPr>
            </w:r>
            <w:r w:rsidR="0070665B">
              <w:rPr>
                <w:b w:val="0"/>
              </w:rPr>
              <w:fldChar w:fldCharType="separate"/>
            </w:r>
            <w:r>
              <w:rPr>
                <w:b w:val="0"/>
              </w:rPr>
              <w:fldChar w:fldCharType="end"/>
            </w:r>
            <w:bookmarkEnd w:id="26"/>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70665B">
              <w:rPr>
                <w:b w:val="0"/>
              </w:rPr>
            </w:r>
            <w:r w:rsidR="0070665B">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0"/>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28"/>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03AA8562" w:rsidR="003379BD" w:rsidRDefault="003379BD" w:rsidP="006A6CDD">
            <w:pPr>
              <w:rPr>
                <w:rFonts w:ascii="Arial" w:hAnsi="Arial"/>
                <w:sz w:val="18"/>
              </w:rPr>
            </w:pPr>
            <w:r>
              <w:rPr>
                <w:rFonts w:ascii="Arial" w:hAnsi="Arial"/>
                <w:sz w:val="18"/>
              </w:rPr>
              <w:t xml:space="preserve">Medication: </w:t>
            </w:r>
            <w:r w:rsidR="003229C5" w:rsidRPr="003229C5">
              <w:rPr>
                <w:sz w:val="22"/>
              </w:rPr>
              <w:t>Pristiq® – (desvenlafaxine)</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3229C5">
        <w:trPr>
          <w:cantSplit/>
          <w:trHeight w:val="800"/>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29A91B32" w:rsidR="0021563E" w:rsidRPr="0056414C" w:rsidRDefault="003379BD" w:rsidP="006A6CDD">
            <w:pPr>
              <w:pStyle w:val="Heading6"/>
              <w:rPr>
                <w:rFonts w:ascii="Times New Roman" w:hAnsi="Times New Roman"/>
                <w:b w:val="0"/>
              </w:rPr>
            </w:pPr>
            <w:r w:rsidRPr="0056414C">
              <w:rPr>
                <w:sz w:val="18"/>
                <w:szCs w:val="18"/>
              </w:rPr>
              <w:t xml:space="preserve">Most Common Side </w:t>
            </w:r>
            <w:proofErr w:type="gramStart"/>
            <w:r w:rsidRPr="0056414C">
              <w:rPr>
                <w:sz w:val="18"/>
                <w:szCs w:val="18"/>
              </w:rPr>
              <w:t xml:space="preserve">Effects </w:t>
            </w:r>
            <w:r>
              <w:t xml:space="preserve"> </w:t>
            </w:r>
            <w:r w:rsidR="003229C5" w:rsidRPr="003229C5">
              <w:rPr>
                <w:rFonts w:cs="Arial"/>
                <w:b w:val="0"/>
                <w:bCs/>
                <w:sz w:val="18"/>
                <w:szCs w:val="18"/>
              </w:rPr>
              <w:t>diaphoresis</w:t>
            </w:r>
            <w:proofErr w:type="gramEnd"/>
            <w:r w:rsidR="003229C5" w:rsidRPr="003229C5">
              <w:rPr>
                <w:rFonts w:cs="Arial"/>
                <w:b w:val="0"/>
                <w:bCs/>
                <w:sz w:val="18"/>
                <w:szCs w:val="18"/>
              </w:rPr>
              <w:t>, constipation, decrease in appetite, nausea, vomiting, serum cholesterol above reference range, xerostomia, dizziness, insomnia, somnolence, tremor, erectile dysfunction, fatigue</w:t>
            </w:r>
          </w:p>
        </w:tc>
      </w:tr>
      <w:tr w:rsidR="003379BD" w14:paraId="15326E25" w14:textId="77777777" w:rsidTr="00683097">
        <w:trPr>
          <w:cantSplit/>
          <w:trHeight w:val="576"/>
        </w:trPr>
        <w:tc>
          <w:tcPr>
            <w:tcW w:w="11448" w:type="dxa"/>
            <w:gridSpan w:val="2"/>
            <w:tcBorders>
              <w:top w:val="nil"/>
              <w:left w:val="nil"/>
              <w:bottom w:val="nil"/>
              <w:right w:val="nil"/>
            </w:tcBorders>
          </w:tcPr>
          <w:p w14:paraId="39216FB7" w14:textId="77777777" w:rsidR="003229C5" w:rsidRPr="003229C5" w:rsidRDefault="003379BD" w:rsidP="003229C5">
            <w:pPr>
              <w:rPr>
                <w:rFonts w:ascii="Arial" w:hAnsi="Arial" w:cs="Arial"/>
                <w:sz w:val="18"/>
                <w:szCs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Pr>
                <w:rFonts w:ascii="Arial" w:hAnsi="Arial"/>
                <w:b/>
                <w:snapToGrid w:val="0"/>
                <w:color w:val="000000"/>
                <w:sz w:val="16"/>
              </w:rPr>
              <w:t xml:space="preserve">  </w:t>
            </w:r>
            <w:r w:rsidR="003229C5" w:rsidRPr="003229C5">
              <w:rPr>
                <w:rFonts w:ascii="Arial" w:hAnsi="Arial" w:cs="Arial"/>
                <w:sz w:val="18"/>
                <w:szCs w:val="18"/>
              </w:rPr>
              <w:t>hypertension, orthostatic hypotension, sustained diastolic hypertension, syncope, tachycardia, flushing, rash, alopecia, hyperprolactinemia, low density lipoprotein cholesterol above reference range, serum triglycerides above reference range, weight increased, taste sense altered, asthenia, disturbance of attention, seizure, vertigo, blurred vision, mydriasis, tinnitus, anxiety, bruxism, depersonalization, dream disorder, delay when starting to pass urine, proteinuria, urinary retention, absence of ejaculation, disorder of ejaculation, late ejaculation, orgasm disorder, orgasm incapacity, reduced libido, sexual dysfunction, yawning, angioedema, shivering.</w:t>
            </w:r>
          </w:p>
          <w:p w14:paraId="1BCFFD3B" w14:textId="21D55B2E" w:rsidR="003379BD" w:rsidRDefault="003379BD" w:rsidP="003229C5">
            <w:pPr>
              <w:rPr>
                <w:b/>
              </w:rPr>
            </w:pPr>
          </w:p>
        </w:tc>
      </w:tr>
      <w:tr w:rsidR="003379BD" w14:paraId="16ADBA3D" w14:textId="77777777" w:rsidTr="003229C5">
        <w:trPr>
          <w:cantSplit/>
          <w:trHeight w:val="360"/>
        </w:trPr>
        <w:tc>
          <w:tcPr>
            <w:tcW w:w="11448" w:type="dxa"/>
            <w:gridSpan w:val="2"/>
            <w:tcBorders>
              <w:top w:val="nil"/>
              <w:left w:val="nil"/>
              <w:bottom w:val="nil"/>
              <w:right w:val="nil"/>
            </w:tcBorders>
          </w:tcPr>
          <w:p w14:paraId="4AB82D46" w14:textId="5E4F212D" w:rsidR="003379BD" w:rsidRDefault="003379BD" w:rsidP="006A6CDD">
            <w:pPr>
              <w:rPr>
                <w:b/>
              </w:rPr>
            </w:pPr>
            <w:r>
              <w:rPr>
                <w:rFonts w:ascii="Arial" w:hAnsi="Arial"/>
                <w:b/>
                <w:sz w:val="18"/>
              </w:rPr>
              <w:t xml:space="preserve">Rare Side </w:t>
            </w:r>
            <w:proofErr w:type="gramStart"/>
            <w:r>
              <w:rPr>
                <w:rFonts w:ascii="Arial" w:hAnsi="Arial"/>
                <w:b/>
                <w:sz w:val="18"/>
              </w:rPr>
              <w:t>Effects</w:t>
            </w:r>
            <w:r>
              <w:t xml:space="preserve">  </w:t>
            </w:r>
            <w:r w:rsidR="003229C5" w:rsidRPr="003229C5">
              <w:rPr>
                <w:rFonts w:ascii="Arial" w:hAnsi="Arial" w:cs="Arial"/>
                <w:sz w:val="18"/>
                <w:szCs w:val="18"/>
              </w:rPr>
              <w:t>mania</w:t>
            </w:r>
            <w:proofErr w:type="gramEnd"/>
          </w:p>
        </w:tc>
      </w:tr>
      <w:tr w:rsidR="003379BD" w14:paraId="0666E783" w14:textId="77777777" w:rsidTr="003229C5">
        <w:trPr>
          <w:trHeight w:val="576"/>
        </w:trPr>
        <w:tc>
          <w:tcPr>
            <w:tcW w:w="11448" w:type="dxa"/>
            <w:gridSpan w:val="2"/>
            <w:tcBorders>
              <w:top w:val="nil"/>
              <w:left w:val="nil"/>
              <w:bottom w:val="nil"/>
              <w:right w:val="nil"/>
            </w:tcBorders>
          </w:tcPr>
          <w:p w14:paraId="3FF35A4F" w14:textId="77777777" w:rsidR="003229C5" w:rsidRDefault="003379BD" w:rsidP="003229C5">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079DD515" w14:textId="14EF6B48" w:rsidR="003229C5" w:rsidRP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Precautions:</w:t>
            </w:r>
          </w:p>
          <w:p w14:paraId="4D042BB8" w14:textId="77777777" w:rsid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Cardiovascular: Blood pressure increases have been reported, some cases requiring immediate treatment; monitoring recommended, especially patients with preexisting hypertension, cardiovascular, or cerebrovascular conditions affected by blood pressure increases; consider dose reduction or discontinuation for sustained elevations. Higher incidence of systolic orthostatic hypotension reported in elderly patients (65 years or older).</w:t>
            </w:r>
          </w:p>
          <w:p w14:paraId="23A30F76" w14:textId="77777777" w:rsidR="003229C5" w:rsidRPr="003229C5" w:rsidRDefault="003229C5" w:rsidP="003229C5">
            <w:pPr>
              <w:rPr>
                <w:rFonts w:ascii="Arial" w:hAnsi="Arial" w:cs="Arial"/>
                <w:snapToGrid w:val="0"/>
                <w:color w:val="000000"/>
                <w:sz w:val="18"/>
                <w:szCs w:val="18"/>
              </w:rPr>
            </w:pPr>
          </w:p>
          <w:p w14:paraId="340E0850" w14:textId="4194E4A1" w:rsid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Concomitant use: Avoid concomitant use with other desvenlafaxine-containing products or venlafaxine. Avoid alcohol.</w:t>
            </w:r>
            <w:r>
              <w:rPr>
                <w:rFonts w:ascii="Arial" w:hAnsi="Arial" w:cs="Arial"/>
                <w:snapToGrid w:val="0"/>
                <w:color w:val="000000"/>
                <w:sz w:val="18"/>
                <w:szCs w:val="18"/>
              </w:rPr>
              <w:t>\</w:t>
            </w:r>
          </w:p>
          <w:p w14:paraId="79F668A9" w14:textId="77777777" w:rsidR="003229C5" w:rsidRPr="003229C5" w:rsidRDefault="003229C5" w:rsidP="003229C5">
            <w:pPr>
              <w:rPr>
                <w:rFonts w:ascii="Arial" w:hAnsi="Arial" w:cs="Arial"/>
                <w:snapToGrid w:val="0"/>
                <w:color w:val="000000"/>
                <w:sz w:val="18"/>
                <w:szCs w:val="18"/>
              </w:rPr>
            </w:pPr>
          </w:p>
          <w:p w14:paraId="1961B012" w14:textId="77777777" w:rsid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 xml:space="preserve">Endocrine and metabolic: Hyponatremia (usually </w:t>
            </w:r>
            <w:proofErr w:type="gramStart"/>
            <w:r w:rsidRPr="003229C5">
              <w:rPr>
                <w:rFonts w:ascii="Arial" w:hAnsi="Arial" w:cs="Arial"/>
                <w:snapToGrid w:val="0"/>
                <w:color w:val="000000"/>
                <w:sz w:val="18"/>
                <w:szCs w:val="18"/>
              </w:rPr>
              <w:t>as a result of</w:t>
            </w:r>
            <w:proofErr w:type="gramEnd"/>
            <w:r w:rsidRPr="003229C5">
              <w:rPr>
                <w:rFonts w:ascii="Arial" w:hAnsi="Arial" w:cs="Arial"/>
                <w:snapToGrid w:val="0"/>
                <w:color w:val="000000"/>
                <w:sz w:val="18"/>
                <w:szCs w:val="18"/>
              </w:rPr>
              <w:t xml:space="preserve"> SIADH) has occurred, especially in volume-depleted and elderly patients or with concurrent diuretic therapy; discontinue if symptoms develop.</w:t>
            </w:r>
          </w:p>
          <w:p w14:paraId="6BD882D0" w14:textId="77777777" w:rsidR="003229C5" w:rsidRPr="003229C5" w:rsidRDefault="003229C5" w:rsidP="003229C5">
            <w:pPr>
              <w:rPr>
                <w:rFonts w:ascii="Arial" w:hAnsi="Arial" w:cs="Arial"/>
                <w:snapToGrid w:val="0"/>
                <w:color w:val="000000"/>
                <w:sz w:val="18"/>
                <w:szCs w:val="18"/>
              </w:rPr>
            </w:pPr>
          </w:p>
          <w:p w14:paraId="53AC4F32" w14:textId="77777777" w:rsid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 xml:space="preserve">Hematologic: Bleeding events (including life-threatening hemorrhages) have been reported with SSRIs and serotonin norepinephrine reuptake inhibitors; concomitant use of NSAIDs, aspirin, warfarin and other anticoagulants may increase this risk. </w:t>
            </w:r>
          </w:p>
          <w:p w14:paraId="0BF75D4C" w14:textId="77777777" w:rsidR="003229C5" w:rsidRPr="003229C5" w:rsidRDefault="003229C5" w:rsidP="003229C5">
            <w:pPr>
              <w:rPr>
                <w:rFonts w:ascii="Arial" w:hAnsi="Arial" w:cs="Arial"/>
                <w:snapToGrid w:val="0"/>
                <w:color w:val="000000"/>
                <w:sz w:val="18"/>
                <w:szCs w:val="18"/>
              </w:rPr>
            </w:pPr>
          </w:p>
          <w:p w14:paraId="146714E6" w14:textId="77777777" w:rsid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Hepatic: Dosage adjustment required in patients with moderate to severe hepatic impairment.</w:t>
            </w:r>
          </w:p>
          <w:p w14:paraId="6FDBE97D" w14:textId="77777777" w:rsidR="003229C5" w:rsidRPr="003229C5" w:rsidRDefault="003229C5" w:rsidP="003229C5">
            <w:pPr>
              <w:rPr>
                <w:rFonts w:ascii="Arial" w:hAnsi="Arial" w:cs="Arial"/>
                <w:snapToGrid w:val="0"/>
                <w:color w:val="000000"/>
                <w:sz w:val="18"/>
                <w:szCs w:val="18"/>
              </w:rPr>
            </w:pPr>
          </w:p>
          <w:p w14:paraId="519965F7" w14:textId="77777777" w:rsid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Neurologic: Seizures may occur; use with caution in patients with a history of seizures.</w:t>
            </w:r>
          </w:p>
          <w:p w14:paraId="2CAFABBD" w14:textId="77777777" w:rsidR="003229C5" w:rsidRPr="003229C5" w:rsidRDefault="003229C5" w:rsidP="003229C5">
            <w:pPr>
              <w:rPr>
                <w:rFonts w:ascii="Arial" w:hAnsi="Arial" w:cs="Arial"/>
                <w:snapToGrid w:val="0"/>
                <w:color w:val="000000"/>
                <w:sz w:val="18"/>
                <w:szCs w:val="18"/>
              </w:rPr>
            </w:pPr>
          </w:p>
          <w:p w14:paraId="04E9873B" w14:textId="77777777" w:rsid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 xml:space="preserve">Ophthalmic: Worsening of angle-closure glaucoma may occur in patients with anatomically narrow angles without an iridectomy. Avoid use in patients with untreated anatomically narrow angles. </w:t>
            </w:r>
          </w:p>
          <w:p w14:paraId="6EE0C0AA" w14:textId="77777777" w:rsidR="003229C5" w:rsidRPr="003229C5" w:rsidRDefault="003229C5" w:rsidP="003229C5">
            <w:pPr>
              <w:rPr>
                <w:rFonts w:ascii="Arial" w:hAnsi="Arial" w:cs="Arial"/>
                <w:snapToGrid w:val="0"/>
                <w:color w:val="000000"/>
                <w:sz w:val="18"/>
                <w:szCs w:val="18"/>
              </w:rPr>
            </w:pPr>
          </w:p>
          <w:p w14:paraId="0DF59563" w14:textId="77777777" w:rsid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Psychiatric: Antidepressant therapy may trigger a mixed/manic episode in patients with underlying bipolar disorder; baseline screening recommended. Mania and activation of mania/hypomania have been reported; use caution in patients with a personal or family history of mania or hypomania.</w:t>
            </w:r>
          </w:p>
          <w:p w14:paraId="694190BB" w14:textId="77777777" w:rsidR="003229C5" w:rsidRPr="003229C5" w:rsidRDefault="003229C5" w:rsidP="003229C5">
            <w:pPr>
              <w:rPr>
                <w:rFonts w:ascii="Arial" w:hAnsi="Arial" w:cs="Arial"/>
                <w:snapToGrid w:val="0"/>
                <w:color w:val="000000"/>
                <w:sz w:val="18"/>
                <w:szCs w:val="18"/>
              </w:rPr>
            </w:pPr>
          </w:p>
          <w:p w14:paraId="2170BE39" w14:textId="77777777" w:rsid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Reproductive: Symptoms of sexual dysfunction including ejaculatory delay or failure, decreased libido, and erectile dysfunction, have been reported in male patients; inquiry about sexual function prior to initiation and during therapy recommended. Increased risk of postpartum hemorrhage, especially when serotonin norepinephrine reuptake inhibitors (SNRIs) are used in the month prior to delivery. Symptoms of sexual dysfunction including decreased libido and delayed or absent orgasm, have been reported in female patients; inquiry about sexual function prior to initiation and during therapy recommended.</w:t>
            </w:r>
          </w:p>
          <w:p w14:paraId="0A56FD85" w14:textId="77777777" w:rsidR="003229C5" w:rsidRPr="003229C5" w:rsidRDefault="003229C5" w:rsidP="003229C5">
            <w:pPr>
              <w:rPr>
                <w:rFonts w:ascii="Arial" w:hAnsi="Arial" w:cs="Arial"/>
                <w:snapToGrid w:val="0"/>
                <w:color w:val="000000"/>
                <w:sz w:val="18"/>
                <w:szCs w:val="18"/>
              </w:rPr>
            </w:pPr>
          </w:p>
          <w:p w14:paraId="7D3E6094" w14:textId="77777777" w:rsid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Renal: Dosage adjustment recommended in patients with severe renal impairment or ESRD.</w:t>
            </w:r>
          </w:p>
          <w:p w14:paraId="6B349A8F" w14:textId="77777777" w:rsidR="003229C5" w:rsidRPr="003229C5" w:rsidRDefault="003229C5" w:rsidP="003229C5">
            <w:pPr>
              <w:rPr>
                <w:rFonts w:ascii="Arial" w:hAnsi="Arial" w:cs="Arial"/>
                <w:snapToGrid w:val="0"/>
                <w:color w:val="000000"/>
                <w:sz w:val="18"/>
                <w:szCs w:val="18"/>
              </w:rPr>
            </w:pPr>
          </w:p>
          <w:p w14:paraId="5D0BFFBB" w14:textId="77777777" w:rsid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Respiratory: Rare cases of interstitial lung disease and eosinophilic pneumonia have been reported with venlafaxine therapy; discontinuation may be required.</w:t>
            </w:r>
          </w:p>
          <w:p w14:paraId="774CD380" w14:textId="77777777" w:rsidR="003229C5" w:rsidRPr="003229C5" w:rsidRDefault="003229C5" w:rsidP="003229C5">
            <w:pPr>
              <w:rPr>
                <w:rFonts w:ascii="Arial" w:hAnsi="Arial" w:cs="Arial"/>
                <w:snapToGrid w:val="0"/>
                <w:color w:val="000000"/>
                <w:sz w:val="18"/>
                <w:szCs w:val="18"/>
              </w:rPr>
            </w:pPr>
          </w:p>
          <w:p w14:paraId="305E8D6A" w14:textId="77777777" w:rsid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Serotonin syndrome: Life-threatening serotonin syndrome has been reported, often during concurrent use with other serotonergic drugs (</w:t>
            </w:r>
            <w:proofErr w:type="spellStart"/>
            <w:r w:rsidRPr="003229C5">
              <w:rPr>
                <w:rFonts w:ascii="Arial" w:hAnsi="Arial" w:cs="Arial"/>
                <w:snapToGrid w:val="0"/>
                <w:color w:val="000000"/>
                <w:sz w:val="18"/>
                <w:szCs w:val="18"/>
              </w:rPr>
              <w:t>ie</w:t>
            </w:r>
            <w:proofErr w:type="spellEnd"/>
            <w:r w:rsidRPr="003229C5">
              <w:rPr>
                <w:rFonts w:ascii="Arial" w:hAnsi="Arial" w:cs="Arial"/>
                <w:snapToGrid w:val="0"/>
                <w:color w:val="000000"/>
                <w:sz w:val="18"/>
                <w:szCs w:val="18"/>
              </w:rPr>
              <w:t>, triptans, tricyclic antidepressants, fentanyl, lithium, tramadol, buspirone, amphetamines, meperidine, methadone, tryptophan, St John's wort) or drugs that impair metabolism of serotonin (</w:t>
            </w:r>
            <w:proofErr w:type="spellStart"/>
            <w:r w:rsidRPr="003229C5">
              <w:rPr>
                <w:rFonts w:ascii="Arial" w:hAnsi="Arial" w:cs="Arial"/>
                <w:snapToGrid w:val="0"/>
                <w:color w:val="000000"/>
                <w:sz w:val="18"/>
                <w:szCs w:val="18"/>
              </w:rPr>
              <w:t>ie</w:t>
            </w:r>
            <w:proofErr w:type="spellEnd"/>
            <w:r w:rsidRPr="003229C5">
              <w:rPr>
                <w:rFonts w:ascii="Arial" w:hAnsi="Arial" w:cs="Arial"/>
                <w:snapToGrid w:val="0"/>
                <w:color w:val="000000"/>
                <w:sz w:val="18"/>
                <w:szCs w:val="18"/>
              </w:rPr>
              <w:t>, MAOIs), but may occur when used alone; monitoring recommended and discontinue if suspected. Supportive therapy may be required.</w:t>
            </w:r>
          </w:p>
          <w:p w14:paraId="0BD0D735" w14:textId="77777777" w:rsidR="003229C5" w:rsidRPr="003229C5" w:rsidRDefault="003229C5" w:rsidP="003229C5">
            <w:pPr>
              <w:rPr>
                <w:rFonts w:ascii="Arial" w:hAnsi="Arial" w:cs="Arial"/>
                <w:snapToGrid w:val="0"/>
                <w:color w:val="000000"/>
                <w:sz w:val="18"/>
                <w:szCs w:val="18"/>
              </w:rPr>
            </w:pPr>
          </w:p>
          <w:p w14:paraId="3663E53D" w14:textId="77777777" w:rsid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 xml:space="preserve">Special populations (Beers Criteria): Avoid use in elderly patients with a history of falls or fractures (unless safer alternatives are not available) as ataxia and impaired psychomotor performance may occur. Avoid concomitant use of 3 or more CNS-active agents in any combination due to increased risk of falls. Use with caution in elderly patients as this may cause or exacerbate SIADH or </w:t>
            </w:r>
            <w:proofErr w:type="gramStart"/>
            <w:r w:rsidRPr="003229C5">
              <w:rPr>
                <w:rFonts w:ascii="Arial" w:hAnsi="Arial" w:cs="Arial"/>
                <w:snapToGrid w:val="0"/>
                <w:color w:val="000000"/>
                <w:sz w:val="18"/>
                <w:szCs w:val="18"/>
              </w:rPr>
              <w:t>hyponatremia, and</w:t>
            </w:r>
            <w:proofErr w:type="gramEnd"/>
            <w:r w:rsidRPr="003229C5">
              <w:rPr>
                <w:rFonts w:ascii="Arial" w:hAnsi="Arial" w:cs="Arial"/>
                <w:snapToGrid w:val="0"/>
                <w:color w:val="000000"/>
                <w:sz w:val="18"/>
                <w:szCs w:val="18"/>
              </w:rPr>
              <w:t xml:space="preserve"> monitor sodium levels when starting or changing doses.</w:t>
            </w:r>
          </w:p>
          <w:p w14:paraId="637A3AA9" w14:textId="77777777" w:rsidR="003229C5" w:rsidRPr="003229C5" w:rsidRDefault="003229C5" w:rsidP="003229C5">
            <w:pPr>
              <w:rPr>
                <w:rFonts w:ascii="Arial" w:hAnsi="Arial" w:cs="Arial"/>
                <w:snapToGrid w:val="0"/>
                <w:color w:val="000000"/>
                <w:sz w:val="18"/>
                <w:szCs w:val="18"/>
              </w:rPr>
            </w:pPr>
          </w:p>
          <w:p w14:paraId="21CE678A" w14:textId="315E24CF" w:rsidR="003379BD" w:rsidRDefault="003229C5" w:rsidP="003229C5">
            <w:pPr>
              <w:rPr>
                <w:b/>
              </w:rPr>
            </w:pPr>
            <w:r w:rsidRPr="003229C5">
              <w:rPr>
                <w:rFonts w:ascii="Arial" w:hAnsi="Arial" w:cs="Arial"/>
                <w:snapToGrid w:val="0"/>
                <w:color w:val="000000"/>
                <w:sz w:val="18"/>
                <w:szCs w:val="18"/>
              </w:rPr>
              <w:t>Withdrawal: Serious withdrawal symptoms upon abrupt discontinuation have been reported; gradual dose reduction rather than abrupt cessation is recommended whenever possible.</w:t>
            </w:r>
          </w:p>
        </w:tc>
      </w:tr>
      <w:tr w:rsidR="003379BD" w14:paraId="1ABCDE1C" w14:textId="77777777" w:rsidTr="00683097">
        <w:trPr>
          <w:cantSplit/>
          <w:trHeight w:val="576"/>
        </w:trPr>
        <w:tc>
          <w:tcPr>
            <w:tcW w:w="11448" w:type="dxa"/>
            <w:gridSpan w:val="2"/>
            <w:tcBorders>
              <w:top w:val="nil"/>
              <w:left w:val="nil"/>
              <w:bottom w:val="nil"/>
              <w:right w:val="nil"/>
            </w:tcBorders>
          </w:tcPr>
          <w:p w14:paraId="6139D2EE" w14:textId="77777777" w:rsidR="003229C5" w:rsidRDefault="003379BD" w:rsidP="003229C5">
            <w:pPr>
              <w:rPr>
                <w:rFonts w:ascii="Arial" w:hAnsi="Arial"/>
                <w:b/>
                <w:snapToGrid w:val="0"/>
                <w:color w:val="000000"/>
                <w:sz w:val="16"/>
              </w:rPr>
            </w:pPr>
            <w:r>
              <w:rPr>
                <w:rFonts w:ascii="Arial" w:hAnsi="Arial"/>
                <w:b/>
                <w:snapToGrid w:val="0"/>
                <w:color w:val="000000"/>
                <w:sz w:val="18"/>
              </w:rPr>
              <w:t xml:space="preserve">Warning </w:t>
            </w:r>
            <w:r>
              <w:rPr>
                <w:rFonts w:ascii="Arial" w:hAnsi="Arial"/>
                <w:b/>
                <w:snapToGrid w:val="0"/>
                <w:color w:val="000000"/>
                <w:sz w:val="16"/>
              </w:rPr>
              <w:t xml:space="preserve"> </w:t>
            </w:r>
          </w:p>
          <w:p w14:paraId="541A7935" w14:textId="64304C99" w:rsidR="003229C5" w:rsidRP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 xml:space="preserve">Black Box Warning: </w:t>
            </w:r>
          </w:p>
          <w:p w14:paraId="16A8C424" w14:textId="77777777" w:rsidR="003229C5" w:rsidRP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Suicidal Thoughts and Behaviors</w:t>
            </w:r>
          </w:p>
          <w:p w14:paraId="63796368" w14:textId="77777777" w:rsidR="003229C5" w:rsidRP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Antidepressants increased the risk of suicidal thoughts and behavior in children, adolescents, and young adults in short-term studies. These studies did not show an increase in the risk of suicidal thoughts and behavior with antidepressant use in patients over age 24; there was a reduction in risk with antidepressant use in patients aged 65 and older.</w:t>
            </w:r>
          </w:p>
          <w:p w14:paraId="42E76DD0" w14:textId="77777777" w:rsidR="003229C5" w:rsidRP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In patients of all ages who are started on antidepressant therapy, monitor closely for worsening, and for emergence of suicidal thoughts and behaviors. Advise families and caregivers of the need for close observation and communication with the prescriber.</w:t>
            </w:r>
          </w:p>
          <w:p w14:paraId="436CA705" w14:textId="77777777" w:rsidR="003229C5" w:rsidRP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Desvenlafaxine is not approved for use in pediatric patients.</w:t>
            </w:r>
          </w:p>
          <w:p w14:paraId="34CC3FEB" w14:textId="3A503838" w:rsidR="003379BD" w:rsidRDefault="003379BD" w:rsidP="000A4D59">
            <w:pPr>
              <w:rPr>
                <w:b/>
              </w:rPr>
            </w:pPr>
          </w:p>
        </w:tc>
      </w:tr>
      <w:tr w:rsidR="004553BF" w14:paraId="03A22388" w14:textId="77777777" w:rsidTr="00683097">
        <w:trPr>
          <w:cantSplit/>
          <w:trHeight w:val="639"/>
        </w:trPr>
        <w:tc>
          <w:tcPr>
            <w:tcW w:w="11448" w:type="dxa"/>
            <w:gridSpan w:val="2"/>
            <w:tcBorders>
              <w:top w:val="nil"/>
              <w:left w:val="nil"/>
              <w:bottom w:val="nil"/>
              <w:right w:val="nil"/>
            </w:tcBorders>
          </w:tcPr>
          <w:p w14:paraId="4B1440FA" w14:textId="77777777" w:rsidR="003229C5" w:rsidRDefault="004553BF" w:rsidP="003229C5">
            <w:pPr>
              <w:rPr>
                <w:rFonts w:ascii="Arial" w:hAnsi="Arial"/>
                <w:b/>
                <w:snapToGrid w:val="0"/>
                <w:color w:val="000000"/>
                <w:sz w:val="16"/>
              </w:rPr>
            </w:pPr>
            <w:r>
              <w:rPr>
                <w:rFonts w:ascii="Arial" w:hAnsi="Arial"/>
                <w:b/>
                <w:snapToGrid w:val="0"/>
                <w:color w:val="000000"/>
                <w:sz w:val="18"/>
              </w:rPr>
              <w:lastRenderedPageBreak/>
              <w:t>Syndrome Note</w:t>
            </w:r>
            <w:r>
              <w:rPr>
                <w:rFonts w:ascii="Arial" w:hAnsi="Arial"/>
                <w:b/>
                <w:snapToGrid w:val="0"/>
                <w:color w:val="000000"/>
                <w:sz w:val="16"/>
              </w:rPr>
              <w:t xml:space="preserve">  </w:t>
            </w:r>
          </w:p>
          <w:p w14:paraId="2990C75A" w14:textId="179F0875" w:rsidR="003229C5" w:rsidRP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 xml:space="preserve">Stevens-Johnson syndrome has been reported during </w:t>
            </w:r>
            <w:proofErr w:type="spellStart"/>
            <w:r w:rsidRPr="003229C5">
              <w:rPr>
                <w:rFonts w:ascii="Arial" w:hAnsi="Arial" w:cs="Arial"/>
                <w:snapToGrid w:val="0"/>
                <w:color w:val="000000"/>
                <w:sz w:val="18"/>
                <w:szCs w:val="18"/>
              </w:rPr>
              <w:t>postmarketing</w:t>
            </w:r>
            <w:proofErr w:type="spellEnd"/>
            <w:r w:rsidRPr="003229C5">
              <w:rPr>
                <w:rFonts w:ascii="Arial" w:hAnsi="Arial" w:cs="Arial"/>
                <w:snapToGrid w:val="0"/>
                <w:color w:val="000000"/>
                <w:sz w:val="18"/>
                <w:szCs w:val="18"/>
              </w:rPr>
              <w:t xml:space="preserve"> use. </w:t>
            </w:r>
          </w:p>
          <w:p w14:paraId="323C928D" w14:textId="77777777" w:rsidR="003229C5" w:rsidRPr="003229C5" w:rsidRDefault="003229C5" w:rsidP="003229C5">
            <w:pPr>
              <w:rPr>
                <w:rFonts w:ascii="Arial" w:hAnsi="Arial" w:cs="Arial"/>
                <w:snapToGrid w:val="0"/>
                <w:color w:val="000000"/>
                <w:sz w:val="18"/>
                <w:szCs w:val="18"/>
              </w:rPr>
            </w:pPr>
            <w:r w:rsidRPr="003229C5">
              <w:rPr>
                <w:rFonts w:ascii="Arial" w:hAnsi="Arial" w:cs="Arial"/>
                <w:snapToGrid w:val="0"/>
                <w:color w:val="000000"/>
                <w:sz w:val="18"/>
                <w:szCs w:val="18"/>
              </w:rPr>
              <w:t>Serotonin syndrome including life-threatening cases, has been reported with the use of desvenlafaxine. Signs and symptoms of serotonin syndrome include mental status changes (</w:t>
            </w:r>
            <w:proofErr w:type="spellStart"/>
            <w:r w:rsidRPr="003229C5">
              <w:rPr>
                <w:rFonts w:ascii="Arial" w:hAnsi="Arial" w:cs="Arial"/>
                <w:snapToGrid w:val="0"/>
                <w:color w:val="000000"/>
                <w:sz w:val="18"/>
                <w:szCs w:val="18"/>
              </w:rPr>
              <w:t>eg</w:t>
            </w:r>
            <w:proofErr w:type="spellEnd"/>
            <w:r w:rsidRPr="003229C5">
              <w:rPr>
                <w:rFonts w:ascii="Arial" w:hAnsi="Arial" w:cs="Arial"/>
                <w:snapToGrid w:val="0"/>
                <w:color w:val="000000"/>
                <w:sz w:val="18"/>
                <w:szCs w:val="18"/>
              </w:rPr>
              <w:t>, agitation, hallucination, coma), autonomic instability (</w:t>
            </w:r>
            <w:proofErr w:type="spellStart"/>
            <w:r w:rsidRPr="003229C5">
              <w:rPr>
                <w:rFonts w:ascii="Arial" w:hAnsi="Arial" w:cs="Arial"/>
                <w:snapToGrid w:val="0"/>
                <w:color w:val="000000"/>
                <w:sz w:val="18"/>
                <w:szCs w:val="18"/>
              </w:rPr>
              <w:t>eg</w:t>
            </w:r>
            <w:proofErr w:type="spellEnd"/>
            <w:r w:rsidRPr="003229C5">
              <w:rPr>
                <w:rFonts w:ascii="Arial" w:hAnsi="Arial" w:cs="Arial"/>
                <w:snapToGrid w:val="0"/>
                <w:color w:val="000000"/>
                <w:sz w:val="18"/>
                <w:szCs w:val="18"/>
              </w:rPr>
              <w:t>, tachycardia, labile blood pressure, hyperthermia, dizziness, diaphoresis, flushing, hyperthermia), neuromuscular aberrations (</w:t>
            </w:r>
            <w:proofErr w:type="spellStart"/>
            <w:r w:rsidRPr="003229C5">
              <w:rPr>
                <w:rFonts w:ascii="Arial" w:hAnsi="Arial" w:cs="Arial"/>
                <w:snapToGrid w:val="0"/>
                <w:color w:val="000000"/>
                <w:sz w:val="18"/>
                <w:szCs w:val="18"/>
              </w:rPr>
              <w:t>eg</w:t>
            </w:r>
            <w:proofErr w:type="spellEnd"/>
            <w:r w:rsidRPr="003229C5">
              <w:rPr>
                <w:rFonts w:ascii="Arial" w:hAnsi="Arial" w:cs="Arial"/>
                <w:snapToGrid w:val="0"/>
                <w:color w:val="000000"/>
                <w:sz w:val="18"/>
                <w:szCs w:val="18"/>
              </w:rPr>
              <w:t>, hyperreflexia, incoordination, tremor, rigidity, myoclonus), seizures, and gastrointestinal symptoms (</w:t>
            </w:r>
            <w:proofErr w:type="spellStart"/>
            <w:r w:rsidRPr="003229C5">
              <w:rPr>
                <w:rFonts w:ascii="Arial" w:hAnsi="Arial" w:cs="Arial"/>
                <w:snapToGrid w:val="0"/>
                <w:color w:val="000000"/>
                <w:sz w:val="18"/>
                <w:szCs w:val="18"/>
              </w:rPr>
              <w:t>eg</w:t>
            </w:r>
            <w:proofErr w:type="spellEnd"/>
            <w:r w:rsidRPr="003229C5">
              <w:rPr>
                <w:rFonts w:ascii="Arial" w:hAnsi="Arial" w:cs="Arial"/>
                <w:snapToGrid w:val="0"/>
                <w:color w:val="000000"/>
                <w:sz w:val="18"/>
                <w:szCs w:val="18"/>
              </w:rPr>
              <w:t>, nausea, vomiting, diarrhea). The risk is increased with concomitant use of SSRIs, serotonin norepinephrine reuptake inhibitors (SNRIs), triptans, antipsychotics, tricyclic antidepressants, fentanyl, lithium, tramadol, meperidine, methadone tryptophan, buspirone, St John's wort, and MAOIs. Immediately discontinue treatment and initiate supportive symptomatic treatment if serotonin syndrome is suspected.</w:t>
            </w:r>
          </w:p>
          <w:p w14:paraId="5AA19370" w14:textId="58CEFBCF" w:rsidR="0056414C" w:rsidRPr="00916D82" w:rsidRDefault="0056414C" w:rsidP="006A6CDD">
            <w:pPr>
              <w:rPr>
                <w:snapToGrid w:val="0"/>
                <w:color w:val="000000"/>
              </w:rPr>
            </w:pP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70665B">
              <w:rPr>
                <w:rFonts w:ascii="Arial" w:hAnsi="Arial"/>
                <w:sz w:val="18"/>
              </w:rPr>
            </w:r>
            <w:r w:rsidR="0070665B">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70665B">
              <w:rPr>
                <w:rFonts w:ascii="Arial" w:hAnsi="Arial"/>
                <w:sz w:val="18"/>
              </w:rPr>
            </w:r>
            <w:r w:rsidR="0070665B">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70665B">
              <w:rPr>
                <w:rFonts w:ascii="Arial" w:hAnsi="Arial"/>
                <w:sz w:val="18"/>
              </w:rPr>
            </w:r>
            <w:r w:rsidR="0070665B">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70665B">
              <w:rPr>
                <w:rFonts w:ascii="Arial" w:hAnsi="Arial"/>
                <w:sz w:val="18"/>
              </w:rPr>
            </w:r>
            <w:r w:rsidR="0070665B">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70665B">
              <w:rPr>
                <w:rFonts w:ascii="Arial" w:hAnsi="Arial"/>
                <w:sz w:val="18"/>
              </w:rPr>
            </w:r>
            <w:r w:rsidR="0070665B">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E767B" w14:textId="77777777" w:rsidR="008114B3" w:rsidRDefault="008114B3" w:rsidP="007A6FC3">
      <w:r>
        <w:separator/>
      </w:r>
    </w:p>
  </w:endnote>
  <w:endnote w:type="continuationSeparator" w:id="0">
    <w:p w14:paraId="6825C1BE" w14:textId="77777777" w:rsidR="008114B3" w:rsidRDefault="008114B3"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BD1F5" w14:textId="77777777" w:rsidR="008114B3" w:rsidRDefault="008114B3" w:rsidP="007A6FC3">
      <w:r>
        <w:separator/>
      </w:r>
    </w:p>
  </w:footnote>
  <w:footnote w:type="continuationSeparator" w:id="0">
    <w:p w14:paraId="47AFFFBC" w14:textId="77777777" w:rsidR="008114B3" w:rsidRDefault="008114B3"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UPo62fe1KycOZRyRoxO58p+LfpHRNDEcdiIVRDWbO9XdV+fOv3pzAzQfdD0lC5F+4BrFe3UNPy06qwaOBAkEQ==" w:salt="IXsws5bVQZ5mlW0klhPKY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2C72"/>
    <w:rsid w:val="00097390"/>
    <w:rsid w:val="000A4D59"/>
    <w:rsid w:val="000B3CEB"/>
    <w:rsid w:val="000D55C9"/>
    <w:rsid w:val="00101422"/>
    <w:rsid w:val="0018307F"/>
    <w:rsid w:val="001C6A48"/>
    <w:rsid w:val="0021563E"/>
    <w:rsid w:val="0024772C"/>
    <w:rsid w:val="0029327A"/>
    <w:rsid w:val="00295B89"/>
    <w:rsid w:val="00311731"/>
    <w:rsid w:val="0031599E"/>
    <w:rsid w:val="003229C5"/>
    <w:rsid w:val="003379BD"/>
    <w:rsid w:val="003A15FD"/>
    <w:rsid w:val="003B70D9"/>
    <w:rsid w:val="003D356D"/>
    <w:rsid w:val="003E29B2"/>
    <w:rsid w:val="004553BF"/>
    <w:rsid w:val="00462A5E"/>
    <w:rsid w:val="0047002C"/>
    <w:rsid w:val="004C2872"/>
    <w:rsid w:val="004D379B"/>
    <w:rsid w:val="005325D4"/>
    <w:rsid w:val="00546EF3"/>
    <w:rsid w:val="005508EB"/>
    <w:rsid w:val="0056414C"/>
    <w:rsid w:val="005A70E2"/>
    <w:rsid w:val="005F3D5E"/>
    <w:rsid w:val="00606B81"/>
    <w:rsid w:val="00621771"/>
    <w:rsid w:val="0064565E"/>
    <w:rsid w:val="0064590E"/>
    <w:rsid w:val="00653309"/>
    <w:rsid w:val="00683097"/>
    <w:rsid w:val="006A6CDD"/>
    <w:rsid w:val="006B7A42"/>
    <w:rsid w:val="006E0FD3"/>
    <w:rsid w:val="0070665B"/>
    <w:rsid w:val="0077222D"/>
    <w:rsid w:val="00775C94"/>
    <w:rsid w:val="007A6FC3"/>
    <w:rsid w:val="007F44C1"/>
    <w:rsid w:val="008114B3"/>
    <w:rsid w:val="00836E1F"/>
    <w:rsid w:val="008E0D37"/>
    <w:rsid w:val="00916D82"/>
    <w:rsid w:val="00927055"/>
    <w:rsid w:val="00934FD5"/>
    <w:rsid w:val="009E23D1"/>
    <w:rsid w:val="00A05C70"/>
    <w:rsid w:val="00A60207"/>
    <w:rsid w:val="00AA7ED4"/>
    <w:rsid w:val="00AB1650"/>
    <w:rsid w:val="00B23CEC"/>
    <w:rsid w:val="00B47C64"/>
    <w:rsid w:val="00B82162"/>
    <w:rsid w:val="00B83999"/>
    <w:rsid w:val="00B87DF0"/>
    <w:rsid w:val="00BC0FD6"/>
    <w:rsid w:val="00CA71B6"/>
    <w:rsid w:val="00CA7C90"/>
    <w:rsid w:val="00CC7A80"/>
    <w:rsid w:val="00CE78B9"/>
    <w:rsid w:val="00DF0FF9"/>
    <w:rsid w:val="00E02750"/>
    <w:rsid w:val="00E7205C"/>
    <w:rsid w:val="00EA1297"/>
    <w:rsid w:val="00EE5A08"/>
    <w:rsid w:val="00EF5F71"/>
    <w:rsid w:val="00F36497"/>
    <w:rsid w:val="00F55DC4"/>
    <w:rsid w:val="00F631AB"/>
    <w:rsid w:val="00FB347C"/>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1879</Words>
  <Characters>11239</Characters>
  <Application>Microsoft Office Word</Application>
  <DocSecurity>0</DocSecurity>
  <Lines>216</Lines>
  <Paragraphs>144</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Ward, Abigail M - DHS</cp:lastModifiedBy>
  <cp:revision>3</cp:revision>
  <cp:lastPrinted>2008-02-05T17:04:00Z</cp:lastPrinted>
  <dcterms:created xsi:type="dcterms:W3CDTF">2024-09-05T18:38:00Z</dcterms:created>
  <dcterms:modified xsi:type="dcterms:W3CDTF">2024-09-05T18:38:00Z</dcterms:modified>
</cp:coreProperties>
</file>