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B7D5260" w14:textId="77777777">
        <w:tc>
          <w:tcPr>
            <w:tcW w:w="5868" w:type="dxa"/>
            <w:tcBorders>
              <w:top w:val="nil"/>
              <w:left w:val="nil"/>
              <w:bottom w:val="nil"/>
              <w:right w:val="nil"/>
            </w:tcBorders>
          </w:tcPr>
          <w:p w14:paraId="717539D9" w14:textId="77777777" w:rsidR="003379BD" w:rsidRPr="004553BF" w:rsidRDefault="003379BD">
            <w:pPr>
              <w:pStyle w:val="Heading1"/>
            </w:pPr>
            <w:r w:rsidRPr="004553BF">
              <w:t>DEPARTMENT OF HEALTH SERVICES</w:t>
            </w:r>
          </w:p>
          <w:p w14:paraId="39393324"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26BC8EA" w14:textId="2AE27829"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8F2CDD">
              <w:rPr>
                <w:rFonts w:ascii="Arial" w:hAnsi="Arial"/>
                <w:sz w:val="18"/>
              </w:rPr>
              <w:t>5</w:t>
            </w:r>
            <w:r w:rsidR="00017A46">
              <w:rPr>
                <w:rFonts w:ascii="Arial" w:hAnsi="Arial"/>
                <w:sz w:val="18"/>
              </w:rPr>
              <w:t>/20</w:t>
            </w:r>
            <w:r w:rsidR="008F2CDD">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C0794D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9E6FD04" w14:textId="77777777" w:rsidR="003379BD" w:rsidRPr="004553BF" w:rsidRDefault="003379BD">
            <w:pPr>
              <w:jc w:val="right"/>
              <w:rPr>
                <w:rFonts w:ascii="Arial" w:hAnsi="Arial"/>
                <w:sz w:val="18"/>
              </w:rPr>
            </w:pPr>
            <w:r w:rsidRPr="004553BF">
              <w:rPr>
                <w:rFonts w:ascii="Arial" w:hAnsi="Arial"/>
                <w:sz w:val="18"/>
              </w:rPr>
              <w:t>42 CFR483.420(a)(2)</w:t>
            </w:r>
          </w:p>
          <w:p w14:paraId="1D85394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AF4175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2F37D3"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01CDF39D"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278"/>
        <w:gridCol w:w="342"/>
        <w:gridCol w:w="180"/>
        <w:gridCol w:w="1386"/>
        <w:gridCol w:w="144"/>
        <w:gridCol w:w="1764"/>
        <w:gridCol w:w="126"/>
        <w:gridCol w:w="2250"/>
        <w:gridCol w:w="1440"/>
      </w:tblGrid>
      <w:tr w:rsidR="003379BD" w14:paraId="7DFCE7B6" w14:textId="77777777">
        <w:trPr>
          <w:cantSplit/>
        </w:trPr>
        <w:tc>
          <w:tcPr>
            <w:tcW w:w="11448" w:type="dxa"/>
            <w:gridSpan w:val="10"/>
            <w:tcBorders>
              <w:top w:val="nil"/>
              <w:left w:val="nil"/>
              <w:bottom w:val="single" w:sz="4" w:space="0" w:color="auto"/>
              <w:right w:val="nil"/>
            </w:tcBorders>
          </w:tcPr>
          <w:p w14:paraId="55076D21" w14:textId="77777777" w:rsidR="003379BD" w:rsidRDefault="003379BD" w:rsidP="0031599E">
            <w:pPr>
              <w:pStyle w:val="Heading3"/>
            </w:pPr>
            <w:r>
              <w:t>INFORMED CONSENT FOR MEDICATION</w:t>
            </w:r>
          </w:p>
          <w:p w14:paraId="18F27372" w14:textId="77777777" w:rsidR="00464819" w:rsidRDefault="00464819" w:rsidP="00BA7FE1">
            <w:pPr>
              <w:pStyle w:val="Heading4"/>
            </w:pPr>
            <w:r>
              <w:t xml:space="preserve">Dosage and / or Side Effect information last revised on </w:t>
            </w:r>
            <w:r w:rsidR="00BA7FE1">
              <w:rPr>
                <w:noProof/>
              </w:rPr>
              <w:t>10/29/2018</w:t>
            </w:r>
          </w:p>
          <w:p w14:paraId="28438879" w14:textId="321A127D"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F2CDD">
              <w:rPr>
                <w:rFonts w:ascii="Arial" w:hAnsi="Arial"/>
                <w:sz w:val="18"/>
              </w:rPr>
              <w:t>informed consent is not given</w:t>
            </w:r>
            <w:r>
              <w:rPr>
                <w:rFonts w:ascii="Arial" w:hAnsi="Arial"/>
                <w:sz w:val="18"/>
              </w:rPr>
              <w:t>, the medication cannot be administered without a court order unless in an emergency.</w:t>
            </w:r>
          </w:p>
          <w:p w14:paraId="41D75C4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450750D7" w14:textId="77777777">
        <w:trPr>
          <w:trHeight w:hRule="exact" w:val="480"/>
        </w:trPr>
        <w:tc>
          <w:tcPr>
            <w:tcW w:w="5868" w:type="dxa"/>
            <w:gridSpan w:val="6"/>
            <w:tcBorders>
              <w:top w:val="single" w:sz="4" w:space="0" w:color="auto"/>
              <w:left w:val="nil"/>
              <w:bottom w:val="single" w:sz="4" w:space="0" w:color="auto"/>
            </w:tcBorders>
          </w:tcPr>
          <w:p w14:paraId="6A5226FA" w14:textId="77777777" w:rsidR="003379BD" w:rsidRDefault="003379BD">
            <w:pPr>
              <w:rPr>
                <w:rFonts w:ascii="Arial" w:hAnsi="Arial"/>
                <w:sz w:val="18"/>
              </w:rPr>
            </w:pPr>
            <w:r>
              <w:rPr>
                <w:rFonts w:ascii="Arial" w:hAnsi="Arial"/>
                <w:sz w:val="18"/>
              </w:rPr>
              <w:t>Name – Patient / Client (Last, First MI)</w:t>
            </w:r>
          </w:p>
          <w:p w14:paraId="6CAE3A61"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73029B37" w14:textId="77777777" w:rsidR="003379BD" w:rsidRDefault="003379BD">
            <w:pPr>
              <w:rPr>
                <w:rFonts w:ascii="Arial" w:hAnsi="Arial"/>
                <w:sz w:val="18"/>
              </w:rPr>
            </w:pPr>
            <w:r>
              <w:rPr>
                <w:rFonts w:ascii="Arial" w:hAnsi="Arial"/>
                <w:sz w:val="18"/>
              </w:rPr>
              <w:t>ID Number</w:t>
            </w:r>
          </w:p>
          <w:p w14:paraId="4609701C"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31EC7FF" w14:textId="77777777" w:rsidR="003379BD" w:rsidRDefault="003379BD">
            <w:pPr>
              <w:rPr>
                <w:rFonts w:ascii="Arial" w:hAnsi="Arial"/>
                <w:sz w:val="18"/>
              </w:rPr>
            </w:pPr>
            <w:r>
              <w:rPr>
                <w:rFonts w:ascii="Arial" w:hAnsi="Arial"/>
                <w:sz w:val="18"/>
              </w:rPr>
              <w:t>Living Unit</w:t>
            </w:r>
          </w:p>
          <w:p w14:paraId="7EEB7C11"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B0390E3" w14:textId="77777777" w:rsidR="003379BD" w:rsidRDefault="006B7A42">
            <w:pPr>
              <w:rPr>
                <w:rFonts w:ascii="Arial" w:hAnsi="Arial"/>
                <w:sz w:val="18"/>
              </w:rPr>
            </w:pPr>
            <w:r>
              <w:rPr>
                <w:rFonts w:ascii="Arial" w:hAnsi="Arial"/>
                <w:sz w:val="18"/>
              </w:rPr>
              <w:t>Date of Birth</w:t>
            </w:r>
          </w:p>
          <w:p w14:paraId="42DA1FEB"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9176A3D" w14:textId="77777777">
        <w:trPr>
          <w:cantSplit/>
        </w:trPr>
        <w:tc>
          <w:tcPr>
            <w:tcW w:w="4338" w:type="dxa"/>
            <w:gridSpan w:val="4"/>
            <w:tcBorders>
              <w:top w:val="single" w:sz="4" w:space="0" w:color="auto"/>
              <w:left w:val="nil"/>
              <w:bottom w:val="single" w:sz="4" w:space="0" w:color="auto"/>
            </w:tcBorders>
          </w:tcPr>
          <w:p w14:paraId="44B5131C" w14:textId="77777777" w:rsidR="003379BD" w:rsidRDefault="003379BD">
            <w:pPr>
              <w:rPr>
                <w:rFonts w:ascii="Arial" w:hAnsi="Arial"/>
                <w:sz w:val="18"/>
              </w:rPr>
            </w:pPr>
            <w:r>
              <w:rPr>
                <w:rFonts w:ascii="Arial" w:hAnsi="Arial"/>
                <w:sz w:val="18"/>
              </w:rPr>
              <w:t>Name – Individual Preparing This Form</w:t>
            </w:r>
          </w:p>
          <w:p w14:paraId="71AAEC31"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4"/>
            <w:tcBorders>
              <w:top w:val="single" w:sz="4" w:space="0" w:color="auto"/>
              <w:bottom w:val="single" w:sz="4" w:space="0" w:color="auto"/>
              <w:right w:val="nil"/>
            </w:tcBorders>
          </w:tcPr>
          <w:p w14:paraId="4533F788" w14:textId="77777777" w:rsidR="003379BD" w:rsidRDefault="003379BD">
            <w:pPr>
              <w:rPr>
                <w:rFonts w:ascii="Arial" w:hAnsi="Arial"/>
                <w:sz w:val="18"/>
              </w:rPr>
            </w:pPr>
            <w:r>
              <w:rPr>
                <w:rFonts w:ascii="Arial" w:hAnsi="Arial"/>
                <w:sz w:val="18"/>
              </w:rPr>
              <w:t>Name – Staff Contact</w:t>
            </w:r>
          </w:p>
          <w:p w14:paraId="75ABED40"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FB9B013" w14:textId="77777777" w:rsidR="003379BD" w:rsidRDefault="003379BD">
            <w:pPr>
              <w:rPr>
                <w:rFonts w:ascii="Arial" w:hAnsi="Arial"/>
                <w:sz w:val="18"/>
              </w:rPr>
            </w:pPr>
            <w:r>
              <w:rPr>
                <w:rFonts w:ascii="Arial" w:hAnsi="Arial"/>
                <w:sz w:val="18"/>
              </w:rPr>
              <w:t>Name / Telephone Number – Institution</w:t>
            </w:r>
          </w:p>
          <w:p w14:paraId="71A4C49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66BCA073" w14:textId="77777777" w:rsidTr="00A34F93">
        <w:trPr>
          <w:cantSplit/>
        </w:trPr>
        <w:tc>
          <w:tcPr>
            <w:tcW w:w="2538" w:type="dxa"/>
            <w:tcBorders>
              <w:top w:val="single" w:sz="4" w:space="0" w:color="auto"/>
              <w:left w:val="nil"/>
              <w:bottom w:val="nil"/>
            </w:tcBorders>
            <w:vAlign w:val="center"/>
          </w:tcPr>
          <w:p w14:paraId="725390C8" w14:textId="77777777" w:rsidR="003379BD" w:rsidRDefault="003379BD" w:rsidP="00DF0FF9">
            <w:pPr>
              <w:pStyle w:val="Heading4"/>
              <w:spacing w:before="0"/>
            </w:pPr>
            <w:r>
              <w:t>MEDICATION CATEGORY</w:t>
            </w:r>
          </w:p>
        </w:tc>
        <w:tc>
          <w:tcPr>
            <w:tcW w:w="1620" w:type="dxa"/>
            <w:gridSpan w:val="2"/>
            <w:tcBorders>
              <w:top w:val="single" w:sz="4" w:space="0" w:color="auto"/>
              <w:bottom w:val="nil"/>
              <w:right w:val="nil"/>
            </w:tcBorders>
            <w:vAlign w:val="center"/>
          </w:tcPr>
          <w:p w14:paraId="0AE634B5" w14:textId="77777777" w:rsidR="003379BD" w:rsidRDefault="003379BD" w:rsidP="00DF0FF9">
            <w:pPr>
              <w:jc w:val="center"/>
              <w:rPr>
                <w:rFonts w:ascii="Arial" w:hAnsi="Arial"/>
                <w:b/>
                <w:sz w:val="18"/>
              </w:rPr>
            </w:pPr>
            <w:r>
              <w:rPr>
                <w:rFonts w:ascii="Arial" w:hAnsi="Arial"/>
                <w:b/>
                <w:sz w:val="18"/>
              </w:rPr>
              <w:t>MEDICATION</w:t>
            </w:r>
          </w:p>
        </w:tc>
        <w:tc>
          <w:tcPr>
            <w:tcW w:w="5850" w:type="dxa"/>
            <w:gridSpan w:val="6"/>
            <w:tcBorders>
              <w:top w:val="single" w:sz="4" w:space="0" w:color="auto"/>
              <w:bottom w:val="nil"/>
              <w:right w:val="nil"/>
            </w:tcBorders>
            <w:vAlign w:val="center"/>
          </w:tcPr>
          <w:p w14:paraId="3C80B488" w14:textId="77777777" w:rsidR="003379BD" w:rsidRDefault="003379BD" w:rsidP="00DF0FF9">
            <w:pPr>
              <w:pStyle w:val="Heading4"/>
              <w:spacing w:before="0"/>
            </w:pPr>
            <w:r>
              <w:t>RECOMMENDED</w:t>
            </w:r>
          </w:p>
          <w:p w14:paraId="309AA8C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8491523" w14:textId="77777777" w:rsidR="003379BD" w:rsidRDefault="003379BD" w:rsidP="00DF0FF9">
            <w:pPr>
              <w:pStyle w:val="Heading4"/>
              <w:spacing w:before="0"/>
              <w:rPr>
                <w:b w:val="0"/>
              </w:rPr>
            </w:pPr>
            <w:r>
              <w:t>ANTICIPATED</w:t>
            </w:r>
            <w:r w:rsidR="00DF0FF9">
              <w:t xml:space="preserve"> </w:t>
            </w:r>
            <w:r>
              <w:t>DOSAGE RANGE</w:t>
            </w:r>
          </w:p>
        </w:tc>
      </w:tr>
      <w:tr w:rsidR="00206191" w14:paraId="5D6C9D8D" w14:textId="77777777" w:rsidTr="00A34F93">
        <w:trPr>
          <w:cantSplit/>
        </w:trPr>
        <w:tc>
          <w:tcPr>
            <w:tcW w:w="2538" w:type="dxa"/>
            <w:tcBorders>
              <w:top w:val="single" w:sz="4" w:space="0" w:color="auto"/>
              <w:left w:val="nil"/>
              <w:bottom w:val="single" w:sz="4" w:space="0" w:color="auto"/>
            </w:tcBorders>
          </w:tcPr>
          <w:p w14:paraId="6D645994" w14:textId="77777777" w:rsidR="00206191" w:rsidRPr="00206191" w:rsidRDefault="00206191" w:rsidP="001361AF">
            <w:pPr>
              <w:spacing w:before="60"/>
              <w:rPr>
                <w:sz w:val="22"/>
                <w:szCs w:val="22"/>
              </w:rPr>
            </w:pPr>
            <w:r w:rsidRPr="00206191">
              <w:rPr>
                <w:sz w:val="22"/>
                <w:szCs w:val="22"/>
              </w:rPr>
              <w:t>Anticonvulsant</w:t>
            </w:r>
          </w:p>
        </w:tc>
        <w:tc>
          <w:tcPr>
            <w:tcW w:w="1620" w:type="dxa"/>
            <w:gridSpan w:val="2"/>
            <w:tcBorders>
              <w:top w:val="single" w:sz="4" w:space="0" w:color="auto"/>
              <w:bottom w:val="single" w:sz="4" w:space="0" w:color="auto"/>
              <w:right w:val="nil"/>
            </w:tcBorders>
          </w:tcPr>
          <w:p w14:paraId="3DCD81FF" w14:textId="77777777" w:rsidR="00206191" w:rsidRPr="00206191" w:rsidRDefault="00206191" w:rsidP="001361AF">
            <w:pPr>
              <w:tabs>
                <w:tab w:val="left" w:pos="702"/>
                <w:tab w:val="left" w:pos="882"/>
                <w:tab w:val="left" w:pos="1152"/>
                <w:tab w:val="left" w:pos="1602"/>
              </w:tabs>
              <w:rPr>
                <w:sz w:val="22"/>
                <w:szCs w:val="22"/>
              </w:rPr>
            </w:pPr>
            <w:r w:rsidRPr="00206191">
              <w:rPr>
                <w:sz w:val="22"/>
                <w:szCs w:val="22"/>
              </w:rPr>
              <w:t>Lyrica</w:t>
            </w:r>
          </w:p>
          <w:p w14:paraId="1000D79A" w14:textId="77777777" w:rsidR="00206191" w:rsidRPr="00206191" w:rsidRDefault="00206191" w:rsidP="001361AF">
            <w:pPr>
              <w:tabs>
                <w:tab w:val="left" w:pos="702"/>
                <w:tab w:val="left" w:pos="882"/>
                <w:tab w:val="left" w:pos="1152"/>
                <w:tab w:val="left" w:pos="1602"/>
              </w:tabs>
              <w:rPr>
                <w:sz w:val="22"/>
                <w:szCs w:val="22"/>
              </w:rPr>
            </w:pPr>
            <w:r w:rsidRPr="00206191">
              <w:rPr>
                <w:sz w:val="22"/>
                <w:szCs w:val="22"/>
              </w:rPr>
              <w:t>(pregabalin)</w:t>
            </w:r>
          </w:p>
        </w:tc>
        <w:tc>
          <w:tcPr>
            <w:tcW w:w="5850" w:type="dxa"/>
            <w:gridSpan w:val="6"/>
            <w:tcBorders>
              <w:top w:val="single" w:sz="4" w:space="0" w:color="auto"/>
              <w:bottom w:val="single" w:sz="4" w:space="0" w:color="auto"/>
              <w:right w:val="nil"/>
            </w:tcBorders>
            <w:vAlign w:val="center"/>
          </w:tcPr>
          <w:p w14:paraId="0B5BD8C2" w14:textId="77777777" w:rsidR="00206191" w:rsidRPr="00206191" w:rsidRDefault="00206191" w:rsidP="001361AF">
            <w:pPr>
              <w:tabs>
                <w:tab w:val="left" w:pos="702"/>
                <w:tab w:val="left" w:pos="882"/>
                <w:tab w:val="left" w:pos="1152"/>
                <w:tab w:val="left" w:pos="1602"/>
              </w:tabs>
              <w:rPr>
                <w:sz w:val="22"/>
                <w:szCs w:val="22"/>
              </w:rPr>
            </w:pPr>
            <w:r w:rsidRPr="00206191">
              <w:rPr>
                <w:sz w:val="22"/>
                <w:szCs w:val="22"/>
              </w:rPr>
              <w:t>Adults: 150mg – 600mg per day</w:t>
            </w:r>
          </w:p>
          <w:p w14:paraId="5D974B96" w14:textId="77777777" w:rsidR="00206191" w:rsidRPr="00206191" w:rsidRDefault="00206191" w:rsidP="00206191">
            <w:pPr>
              <w:tabs>
                <w:tab w:val="left" w:pos="702"/>
                <w:tab w:val="left" w:pos="882"/>
                <w:tab w:val="left" w:pos="1152"/>
                <w:tab w:val="left" w:pos="1602"/>
              </w:tabs>
              <w:rPr>
                <w:sz w:val="22"/>
                <w:szCs w:val="22"/>
              </w:rPr>
            </w:pPr>
            <w:r w:rsidRPr="00206191">
              <w:rPr>
                <w:sz w:val="22"/>
                <w:szCs w:val="22"/>
              </w:rPr>
              <w:t>Children over 4: Dose by body weight (If &lt;30kg, not to exceed 14mg/kg/day. If 30kg or more, not to exceed 600mg/day)</w:t>
            </w:r>
          </w:p>
        </w:tc>
        <w:tc>
          <w:tcPr>
            <w:tcW w:w="1440" w:type="dxa"/>
            <w:tcBorders>
              <w:top w:val="single" w:sz="4" w:space="0" w:color="auto"/>
              <w:bottom w:val="single" w:sz="4" w:space="0" w:color="auto"/>
              <w:right w:val="nil"/>
            </w:tcBorders>
            <w:vAlign w:val="center"/>
          </w:tcPr>
          <w:p w14:paraId="103BB3C7" w14:textId="77777777" w:rsidR="00206191" w:rsidRDefault="00206191"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5272F12F" w14:textId="77777777">
        <w:trPr>
          <w:cantSplit/>
          <w:trHeight w:hRule="exact" w:val="1200"/>
        </w:trPr>
        <w:tc>
          <w:tcPr>
            <w:tcW w:w="11448" w:type="dxa"/>
            <w:gridSpan w:val="10"/>
            <w:tcBorders>
              <w:top w:val="nil"/>
              <w:left w:val="nil"/>
              <w:bottom w:val="single" w:sz="4" w:space="0" w:color="auto"/>
              <w:right w:val="nil"/>
            </w:tcBorders>
          </w:tcPr>
          <w:p w14:paraId="2AE5164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1942C0F"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C6B10DF"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12A2F">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12A2F">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12A2F">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4E4DFA15" w14:textId="77777777">
        <w:trPr>
          <w:cantSplit/>
          <w:trHeight w:hRule="exact" w:val="600"/>
        </w:trPr>
        <w:tc>
          <w:tcPr>
            <w:tcW w:w="11448" w:type="dxa"/>
            <w:gridSpan w:val="10"/>
            <w:tcBorders>
              <w:top w:val="single" w:sz="4" w:space="0" w:color="auto"/>
              <w:left w:val="nil"/>
              <w:bottom w:val="nil"/>
              <w:right w:val="nil"/>
            </w:tcBorders>
          </w:tcPr>
          <w:p w14:paraId="1E9B7E6E" w14:textId="5D4ADB2E"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8F2CDD">
              <w:rPr>
                <w:b w:val="0"/>
              </w:rPr>
              <w:t>impression (</w:t>
            </w:r>
            <w:r w:rsidRPr="00097390">
              <w:rPr>
                <w:b w:val="0"/>
              </w:rPr>
              <w:t>“working hypothesis</w:t>
            </w:r>
            <w:r w:rsidR="0031599E" w:rsidRPr="00097390">
              <w:rPr>
                <w:b w:val="0"/>
              </w:rPr>
              <w:t>.”</w:t>
            </w:r>
            <w:r w:rsidR="008F2CDD">
              <w:rPr>
                <w:b w:val="0"/>
              </w:rPr>
              <w:t>)</w:t>
            </w:r>
          </w:p>
        </w:tc>
      </w:tr>
      <w:tr w:rsidR="003379BD" w14:paraId="62DB9708" w14:textId="77777777" w:rsidTr="008F2CDD">
        <w:trPr>
          <w:cantSplit/>
          <w:trHeight w:val="1008"/>
        </w:trPr>
        <w:tc>
          <w:tcPr>
            <w:tcW w:w="11448" w:type="dxa"/>
            <w:gridSpan w:val="10"/>
            <w:tcBorders>
              <w:top w:val="nil"/>
              <w:left w:val="nil"/>
              <w:bottom w:val="single" w:sz="4" w:space="0" w:color="auto"/>
              <w:right w:val="nil"/>
            </w:tcBorders>
          </w:tcPr>
          <w:p w14:paraId="207FD358"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6CADE803" w14:textId="77777777">
        <w:trPr>
          <w:cantSplit/>
          <w:trHeight w:val="240"/>
        </w:trPr>
        <w:tc>
          <w:tcPr>
            <w:tcW w:w="11448" w:type="dxa"/>
            <w:gridSpan w:val="10"/>
            <w:tcBorders>
              <w:top w:val="single" w:sz="4" w:space="0" w:color="auto"/>
              <w:left w:val="nil"/>
              <w:bottom w:val="nil"/>
              <w:right w:val="nil"/>
            </w:tcBorders>
          </w:tcPr>
          <w:p w14:paraId="1D3DF35D"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ADEC0D4" w14:textId="77777777">
        <w:trPr>
          <w:cantSplit/>
          <w:trHeight w:val="240"/>
        </w:trPr>
        <w:tc>
          <w:tcPr>
            <w:tcW w:w="5724" w:type="dxa"/>
            <w:gridSpan w:val="5"/>
            <w:tcBorders>
              <w:top w:val="nil"/>
              <w:left w:val="nil"/>
              <w:bottom w:val="nil"/>
              <w:right w:val="nil"/>
            </w:tcBorders>
            <w:vAlign w:val="center"/>
          </w:tcPr>
          <w:p w14:paraId="66AAA1E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3B1189C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385D428" w14:textId="77777777">
        <w:trPr>
          <w:cantSplit/>
          <w:trHeight w:val="240"/>
        </w:trPr>
        <w:tc>
          <w:tcPr>
            <w:tcW w:w="5724" w:type="dxa"/>
            <w:gridSpan w:val="5"/>
            <w:tcBorders>
              <w:top w:val="nil"/>
              <w:left w:val="nil"/>
              <w:bottom w:val="nil"/>
              <w:right w:val="nil"/>
            </w:tcBorders>
            <w:vAlign w:val="center"/>
          </w:tcPr>
          <w:p w14:paraId="3E98475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72F531D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AC6F305" w14:textId="77777777">
        <w:trPr>
          <w:cantSplit/>
          <w:trHeight w:val="240"/>
        </w:trPr>
        <w:tc>
          <w:tcPr>
            <w:tcW w:w="5724" w:type="dxa"/>
            <w:gridSpan w:val="5"/>
            <w:tcBorders>
              <w:top w:val="nil"/>
              <w:left w:val="nil"/>
              <w:bottom w:val="nil"/>
              <w:right w:val="nil"/>
            </w:tcBorders>
            <w:vAlign w:val="center"/>
          </w:tcPr>
          <w:p w14:paraId="0028CE4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387E927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9C42F0D" w14:textId="77777777" w:rsidTr="008F2CDD">
        <w:trPr>
          <w:cantSplit/>
          <w:trHeight w:val="1008"/>
        </w:trPr>
        <w:tc>
          <w:tcPr>
            <w:tcW w:w="11448" w:type="dxa"/>
            <w:gridSpan w:val="10"/>
            <w:tcBorders>
              <w:top w:val="nil"/>
              <w:left w:val="nil"/>
              <w:bottom w:val="nil"/>
              <w:right w:val="nil"/>
            </w:tcBorders>
          </w:tcPr>
          <w:p w14:paraId="6D65E9B8"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A3AA75D" w14:textId="77777777">
        <w:trPr>
          <w:cantSplit/>
          <w:trHeight w:hRule="exact" w:val="240"/>
        </w:trPr>
        <w:tc>
          <w:tcPr>
            <w:tcW w:w="11448" w:type="dxa"/>
            <w:gridSpan w:val="10"/>
            <w:tcBorders>
              <w:top w:val="nil"/>
              <w:left w:val="nil"/>
              <w:bottom w:val="single" w:sz="4" w:space="0" w:color="auto"/>
              <w:right w:val="nil"/>
            </w:tcBorders>
          </w:tcPr>
          <w:p w14:paraId="764E059F" w14:textId="77777777" w:rsidR="003379BD" w:rsidRDefault="003379BD">
            <w:pPr>
              <w:pStyle w:val="Heading4"/>
              <w:tabs>
                <w:tab w:val="left" w:pos="540"/>
              </w:tabs>
              <w:spacing w:before="0"/>
              <w:jc w:val="left"/>
            </w:pPr>
          </w:p>
        </w:tc>
      </w:tr>
      <w:tr w:rsidR="003379BD" w14:paraId="79C38A2D" w14:textId="77777777">
        <w:trPr>
          <w:cantSplit/>
          <w:trHeight w:hRule="exact" w:val="240"/>
        </w:trPr>
        <w:tc>
          <w:tcPr>
            <w:tcW w:w="11448" w:type="dxa"/>
            <w:gridSpan w:val="10"/>
            <w:tcBorders>
              <w:top w:val="nil"/>
              <w:left w:val="nil"/>
              <w:bottom w:val="nil"/>
              <w:right w:val="nil"/>
            </w:tcBorders>
          </w:tcPr>
          <w:p w14:paraId="2733655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132D861C" w14:textId="77777777" w:rsidTr="00934FD5">
        <w:trPr>
          <w:cantSplit/>
          <w:trHeight w:val="288"/>
        </w:trPr>
        <w:tc>
          <w:tcPr>
            <w:tcW w:w="3816" w:type="dxa"/>
            <w:gridSpan w:val="2"/>
            <w:tcBorders>
              <w:top w:val="nil"/>
              <w:left w:val="nil"/>
              <w:bottom w:val="nil"/>
              <w:right w:val="nil"/>
            </w:tcBorders>
            <w:vAlign w:val="center"/>
          </w:tcPr>
          <w:p w14:paraId="5D98DCCD"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12A2F">
              <w:rPr>
                <w:b w:val="0"/>
              </w:rPr>
            </w:r>
            <w:r w:rsidR="00B12A2F">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C5B996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12A2F">
              <w:rPr>
                <w:b w:val="0"/>
              </w:rPr>
            </w:r>
            <w:r w:rsidR="00B12A2F">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11A25EA"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12A2F">
              <w:rPr>
                <w:b w:val="0"/>
              </w:rPr>
            </w:r>
            <w:r w:rsidR="00B12A2F">
              <w:rPr>
                <w:b w:val="0"/>
              </w:rPr>
              <w:fldChar w:fldCharType="separate"/>
            </w:r>
            <w:r>
              <w:rPr>
                <w:b w:val="0"/>
              </w:rPr>
              <w:fldChar w:fldCharType="end"/>
            </w:r>
            <w:bookmarkEnd w:id="19"/>
            <w:r>
              <w:rPr>
                <w:b w:val="0"/>
              </w:rPr>
              <w:t xml:space="preserve"> Social Functioning</w:t>
            </w:r>
          </w:p>
        </w:tc>
      </w:tr>
      <w:tr w:rsidR="003379BD" w14:paraId="6597662C" w14:textId="77777777">
        <w:trPr>
          <w:cantSplit/>
          <w:trHeight w:val="240"/>
        </w:trPr>
        <w:tc>
          <w:tcPr>
            <w:tcW w:w="3816" w:type="dxa"/>
            <w:gridSpan w:val="2"/>
            <w:tcBorders>
              <w:top w:val="nil"/>
              <w:left w:val="nil"/>
              <w:bottom w:val="nil"/>
              <w:right w:val="nil"/>
            </w:tcBorders>
          </w:tcPr>
          <w:p w14:paraId="547E9CA3"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84C097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813AB17" w14:textId="77777777" w:rsidR="003379BD" w:rsidRDefault="003379BD">
            <w:pPr>
              <w:pStyle w:val="Heading4"/>
              <w:tabs>
                <w:tab w:val="left" w:pos="540"/>
              </w:tabs>
              <w:jc w:val="left"/>
              <w:rPr>
                <w:b w:val="0"/>
              </w:rPr>
            </w:pPr>
          </w:p>
        </w:tc>
      </w:tr>
      <w:tr w:rsidR="003379BD" w14:paraId="731E6623" w14:textId="77777777">
        <w:trPr>
          <w:cantSplit/>
          <w:trHeight w:val="192"/>
        </w:trPr>
        <w:tc>
          <w:tcPr>
            <w:tcW w:w="5724" w:type="dxa"/>
            <w:gridSpan w:val="5"/>
            <w:tcBorders>
              <w:top w:val="nil"/>
              <w:left w:val="nil"/>
              <w:bottom w:val="nil"/>
              <w:right w:val="nil"/>
            </w:tcBorders>
          </w:tcPr>
          <w:p w14:paraId="7C37977F"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7BBBEA74" w14:textId="77777777" w:rsidR="003379BD" w:rsidRDefault="003379BD">
            <w:pPr>
              <w:pStyle w:val="Heading4"/>
              <w:tabs>
                <w:tab w:val="left" w:pos="540"/>
              </w:tabs>
              <w:jc w:val="left"/>
              <w:rPr>
                <w:b w:val="0"/>
              </w:rPr>
            </w:pPr>
          </w:p>
        </w:tc>
      </w:tr>
      <w:bookmarkStart w:id="20" w:name="_Hlk151783589"/>
      <w:tr w:rsidR="003379BD" w14:paraId="6622C005" w14:textId="77777777">
        <w:trPr>
          <w:cantSplit/>
          <w:trHeight w:val="192"/>
        </w:trPr>
        <w:tc>
          <w:tcPr>
            <w:tcW w:w="5724" w:type="dxa"/>
            <w:gridSpan w:val="5"/>
            <w:tcBorders>
              <w:top w:val="nil"/>
              <w:left w:val="nil"/>
              <w:bottom w:val="nil"/>
              <w:right w:val="nil"/>
            </w:tcBorders>
            <w:vAlign w:val="center"/>
          </w:tcPr>
          <w:p w14:paraId="7041529C"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12A2F">
              <w:rPr>
                <w:b w:val="0"/>
              </w:rPr>
            </w:r>
            <w:r w:rsidR="00B12A2F">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150B1B4B"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12A2F">
              <w:rPr>
                <w:b w:val="0"/>
              </w:rPr>
            </w:r>
            <w:r w:rsidR="00B12A2F">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94FC306" w14:textId="77777777">
        <w:trPr>
          <w:cantSplit/>
          <w:trHeight w:val="192"/>
        </w:trPr>
        <w:tc>
          <w:tcPr>
            <w:tcW w:w="5724" w:type="dxa"/>
            <w:gridSpan w:val="5"/>
            <w:tcBorders>
              <w:top w:val="nil"/>
              <w:left w:val="nil"/>
              <w:bottom w:val="nil"/>
              <w:right w:val="nil"/>
            </w:tcBorders>
            <w:vAlign w:val="center"/>
          </w:tcPr>
          <w:p w14:paraId="5E2D6D5C"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12A2F">
              <w:rPr>
                <w:b w:val="0"/>
              </w:rPr>
            </w:r>
            <w:r w:rsidR="00B12A2F">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0FC951B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12A2F">
              <w:rPr>
                <w:b w:val="0"/>
              </w:rPr>
            </w:r>
            <w:r w:rsidR="00B12A2F">
              <w:rPr>
                <w:b w:val="0"/>
              </w:rPr>
              <w:fldChar w:fldCharType="separate"/>
            </w:r>
            <w:r>
              <w:rPr>
                <w:b w:val="0"/>
              </w:rPr>
              <w:fldChar w:fldCharType="end"/>
            </w:r>
            <w:bookmarkEnd w:id="24"/>
            <w:r>
              <w:rPr>
                <w:b w:val="0"/>
              </w:rPr>
              <w:t xml:space="preserve"> Intervention of law enforcement authorities</w:t>
            </w:r>
          </w:p>
        </w:tc>
      </w:tr>
      <w:tr w:rsidR="003379BD" w14:paraId="546E11EE" w14:textId="77777777">
        <w:trPr>
          <w:cantSplit/>
          <w:trHeight w:val="192"/>
        </w:trPr>
        <w:tc>
          <w:tcPr>
            <w:tcW w:w="5724" w:type="dxa"/>
            <w:gridSpan w:val="5"/>
            <w:tcBorders>
              <w:top w:val="nil"/>
              <w:left w:val="nil"/>
              <w:bottom w:val="nil"/>
              <w:right w:val="nil"/>
            </w:tcBorders>
            <w:vAlign w:val="center"/>
          </w:tcPr>
          <w:p w14:paraId="43F9A13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12A2F">
              <w:rPr>
                <w:b w:val="0"/>
              </w:rPr>
            </w:r>
            <w:r w:rsidR="00B12A2F">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5AAA5AE6"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12A2F">
              <w:rPr>
                <w:b w:val="0"/>
              </w:rPr>
            </w:r>
            <w:r w:rsidR="00B12A2F">
              <w:rPr>
                <w:b w:val="0"/>
              </w:rPr>
              <w:fldChar w:fldCharType="separate"/>
            </w:r>
            <w:r>
              <w:rPr>
                <w:b w:val="0"/>
              </w:rPr>
              <w:fldChar w:fldCharType="end"/>
            </w:r>
            <w:bookmarkEnd w:id="26"/>
            <w:r>
              <w:rPr>
                <w:b w:val="0"/>
              </w:rPr>
              <w:t xml:space="preserve"> Risk of harm to self or others</w:t>
            </w:r>
          </w:p>
        </w:tc>
      </w:tr>
      <w:tr w:rsidR="003379BD" w14:paraId="770DFBE8" w14:textId="77777777">
        <w:trPr>
          <w:cantSplit/>
          <w:trHeight w:val="192"/>
        </w:trPr>
        <w:tc>
          <w:tcPr>
            <w:tcW w:w="5724" w:type="dxa"/>
            <w:gridSpan w:val="5"/>
            <w:tcBorders>
              <w:top w:val="nil"/>
              <w:left w:val="nil"/>
              <w:bottom w:val="nil"/>
              <w:right w:val="nil"/>
            </w:tcBorders>
            <w:vAlign w:val="center"/>
          </w:tcPr>
          <w:p w14:paraId="1DB2B24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12A2F">
              <w:rPr>
                <w:b w:val="0"/>
              </w:rPr>
            </w:r>
            <w:r w:rsidR="00B12A2F">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6B6E06F6" w14:textId="77777777" w:rsidR="003379BD" w:rsidRDefault="003379BD">
            <w:pPr>
              <w:pStyle w:val="Heading4"/>
              <w:tabs>
                <w:tab w:val="left" w:pos="540"/>
              </w:tabs>
              <w:spacing w:before="0"/>
              <w:jc w:val="left"/>
              <w:rPr>
                <w:b w:val="0"/>
              </w:rPr>
            </w:pPr>
          </w:p>
        </w:tc>
      </w:tr>
      <w:bookmarkEnd w:id="20"/>
      <w:tr w:rsidR="003379BD" w14:paraId="22DDB92D" w14:textId="77777777" w:rsidTr="008F2CDD">
        <w:trPr>
          <w:cantSplit/>
          <w:trHeight w:val="1008"/>
        </w:trPr>
        <w:tc>
          <w:tcPr>
            <w:tcW w:w="11448" w:type="dxa"/>
            <w:gridSpan w:val="10"/>
            <w:tcBorders>
              <w:top w:val="nil"/>
              <w:left w:val="nil"/>
              <w:bottom w:val="single" w:sz="4" w:space="0" w:color="auto"/>
              <w:right w:val="nil"/>
            </w:tcBorders>
          </w:tcPr>
          <w:p w14:paraId="6E85ECE3"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704594F0" w14:textId="77777777">
        <w:trPr>
          <w:cantSplit/>
          <w:trHeight w:hRule="exact" w:val="440"/>
        </w:trPr>
        <w:tc>
          <w:tcPr>
            <w:tcW w:w="11448" w:type="dxa"/>
            <w:gridSpan w:val="10"/>
            <w:tcBorders>
              <w:top w:val="single" w:sz="4" w:space="0" w:color="auto"/>
              <w:left w:val="nil"/>
              <w:bottom w:val="single" w:sz="4" w:space="0" w:color="auto"/>
              <w:right w:val="nil"/>
            </w:tcBorders>
          </w:tcPr>
          <w:p w14:paraId="2F15BECD"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86FAC8E" w14:textId="77777777" w:rsidR="003379BD" w:rsidRDefault="00464819">
      <w:pPr>
        <w:jc w:val="right"/>
        <w:rPr>
          <w:rFonts w:ascii="Arial" w:hAnsi="Arial"/>
          <w:sz w:val="18"/>
        </w:rPr>
      </w:pPr>
      <w:r>
        <w:rPr>
          <w:rFonts w:ascii="Arial" w:hAnsi="Arial"/>
          <w:sz w:val="18"/>
        </w:rPr>
        <w:t>See Page 2</w:t>
      </w:r>
    </w:p>
    <w:p w14:paraId="2F3B96AF"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957447C" w14:textId="77777777">
        <w:trPr>
          <w:tblHeader/>
        </w:trPr>
        <w:tc>
          <w:tcPr>
            <w:tcW w:w="4788" w:type="dxa"/>
            <w:tcBorders>
              <w:top w:val="nil"/>
              <w:left w:val="nil"/>
              <w:bottom w:val="nil"/>
              <w:right w:val="nil"/>
            </w:tcBorders>
          </w:tcPr>
          <w:p w14:paraId="1C107BE9"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F6E664C" w14:textId="77777777" w:rsidR="003379BD" w:rsidRDefault="003379BD" w:rsidP="00CF16BF">
            <w:pPr>
              <w:rPr>
                <w:rFonts w:ascii="Arial" w:hAnsi="Arial"/>
                <w:sz w:val="18"/>
              </w:rPr>
            </w:pPr>
            <w:r>
              <w:rPr>
                <w:rFonts w:ascii="Arial" w:hAnsi="Arial"/>
                <w:sz w:val="18"/>
              </w:rPr>
              <w:t xml:space="preserve">Medication: </w:t>
            </w:r>
            <w:r w:rsidR="005B1155" w:rsidRPr="005B1155">
              <w:rPr>
                <w:sz w:val="22"/>
                <w:szCs w:val="22"/>
              </w:rPr>
              <w:t>Lyrica - (Pregabalin)</w:t>
            </w:r>
          </w:p>
        </w:tc>
      </w:tr>
      <w:tr w:rsidR="003379BD" w14:paraId="184B3956" w14:textId="77777777">
        <w:trPr>
          <w:cantSplit/>
        </w:trPr>
        <w:tc>
          <w:tcPr>
            <w:tcW w:w="11448" w:type="dxa"/>
            <w:gridSpan w:val="2"/>
            <w:tcBorders>
              <w:top w:val="single" w:sz="4" w:space="0" w:color="auto"/>
              <w:left w:val="nil"/>
              <w:bottom w:val="single" w:sz="4" w:space="0" w:color="auto"/>
              <w:right w:val="nil"/>
            </w:tcBorders>
          </w:tcPr>
          <w:p w14:paraId="73EAF879"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22DC081D" w14:textId="77777777" w:rsidTr="008768D6">
        <w:trPr>
          <w:trHeight w:val="864"/>
        </w:trPr>
        <w:tc>
          <w:tcPr>
            <w:tcW w:w="11448" w:type="dxa"/>
            <w:gridSpan w:val="2"/>
            <w:tcBorders>
              <w:top w:val="single" w:sz="4" w:space="0" w:color="auto"/>
              <w:left w:val="nil"/>
              <w:bottom w:val="nil"/>
              <w:right w:val="nil"/>
            </w:tcBorders>
          </w:tcPr>
          <w:p w14:paraId="18E369F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765EF44" w14:textId="77777777" w:rsidR="0021563E" w:rsidRDefault="003379BD" w:rsidP="00AD441D">
            <w:pPr>
              <w:pStyle w:val="Heading6"/>
              <w:spacing w:before="120"/>
              <w:rPr>
                <w:sz w:val="18"/>
                <w:szCs w:val="18"/>
              </w:rPr>
            </w:pPr>
            <w:r w:rsidRPr="0056414C">
              <w:rPr>
                <w:sz w:val="18"/>
                <w:szCs w:val="18"/>
              </w:rPr>
              <w:t>Most Common Side Effects</w:t>
            </w:r>
          </w:p>
          <w:p w14:paraId="4C98F42C" w14:textId="77777777" w:rsidR="005B0BA7" w:rsidRPr="005B0BA7" w:rsidRDefault="005B0BA7" w:rsidP="005B0BA7">
            <w:r w:rsidRPr="00C51A32">
              <w:rPr>
                <w:rFonts w:ascii="Arial" w:hAnsi="Arial" w:cs="Arial"/>
                <w:sz w:val="18"/>
                <w:szCs w:val="18"/>
              </w:rPr>
              <w:t>Most common side effects include</w:t>
            </w:r>
            <w:r w:rsidRPr="00EE5665">
              <w:rPr>
                <w:rFonts w:ascii="Arial" w:hAnsi="Arial" w:cs="Arial"/>
                <w:b/>
                <w:sz w:val="18"/>
                <w:szCs w:val="18"/>
              </w:rPr>
              <w:t xml:space="preserve"> </w:t>
            </w:r>
            <w:r w:rsidRPr="00EE5665">
              <w:rPr>
                <w:rFonts w:ascii="Arial" w:hAnsi="Arial" w:cs="Arial"/>
                <w:bCs/>
                <w:color w:val="25282A"/>
                <w:sz w:val="18"/>
                <w:szCs w:val="18"/>
              </w:rPr>
              <w:t xml:space="preserve">swelling of the </w:t>
            </w:r>
            <w:r w:rsidRPr="00C51A32">
              <w:rPr>
                <w:rFonts w:ascii="Arial" w:hAnsi="Arial" w:cs="Arial"/>
                <w:bCs/>
                <w:color w:val="25282A"/>
                <w:sz w:val="18"/>
                <w:szCs w:val="18"/>
              </w:rPr>
              <w:t>extremities, dizziness, drowsiness, headache, fatigue, weight gain, dry mouth, incoordination, and double vision</w:t>
            </w:r>
            <w:r>
              <w:rPr>
                <w:rFonts w:ascii="Arial" w:hAnsi="Arial" w:cs="Arial"/>
                <w:bCs/>
                <w:color w:val="25282A"/>
                <w:sz w:val="18"/>
                <w:szCs w:val="18"/>
              </w:rPr>
              <w:t>.</w:t>
            </w:r>
          </w:p>
        </w:tc>
      </w:tr>
      <w:tr w:rsidR="003379BD" w14:paraId="51B5D02D" w14:textId="77777777" w:rsidTr="008768D6">
        <w:trPr>
          <w:trHeight w:val="576"/>
        </w:trPr>
        <w:tc>
          <w:tcPr>
            <w:tcW w:w="11448" w:type="dxa"/>
            <w:gridSpan w:val="2"/>
            <w:tcBorders>
              <w:top w:val="nil"/>
              <w:left w:val="nil"/>
              <w:bottom w:val="nil"/>
              <w:right w:val="nil"/>
            </w:tcBorders>
          </w:tcPr>
          <w:p w14:paraId="6E3008FD"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43D5C48D" w14:textId="77777777" w:rsidR="005B0BA7" w:rsidRPr="00C51A32" w:rsidRDefault="005B0BA7" w:rsidP="005B0BA7">
            <w:pPr>
              <w:rPr>
                <w:rFonts w:ascii="Arial" w:hAnsi="Arial" w:cs="Arial"/>
                <w:bCs/>
                <w:color w:val="25282A"/>
                <w:sz w:val="18"/>
                <w:szCs w:val="18"/>
              </w:rPr>
            </w:pPr>
            <w:r w:rsidRPr="00C51A32">
              <w:rPr>
                <w:rFonts w:ascii="Arial" w:hAnsi="Arial" w:cs="Arial"/>
                <w:bCs/>
                <w:color w:val="25282A"/>
                <w:sz w:val="18"/>
                <w:szCs w:val="18"/>
              </w:rPr>
              <w:t>Less common side effects include increased appetite, changes in blood pressure, abnormal gait, euphoria, confusion, insomnia, disturbance of speech, decreased sex drive, constipation, muscle spasms, muscle aches or weakness, tremor, vertigo, infection, and increased creatinine kinase levels.</w:t>
            </w:r>
          </w:p>
          <w:p w14:paraId="7AE22BC3" w14:textId="77777777" w:rsidR="005B0BA7" w:rsidRDefault="005B0BA7" w:rsidP="00AD441D">
            <w:pPr>
              <w:rPr>
                <w:b/>
              </w:rPr>
            </w:pPr>
          </w:p>
        </w:tc>
      </w:tr>
      <w:tr w:rsidR="003379BD" w14:paraId="5D366756" w14:textId="77777777" w:rsidTr="008768D6">
        <w:trPr>
          <w:trHeight w:val="576"/>
        </w:trPr>
        <w:tc>
          <w:tcPr>
            <w:tcW w:w="11448" w:type="dxa"/>
            <w:gridSpan w:val="2"/>
            <w:tcBorders>
              <w:top w:val="nil"/>
              <w:left w:val="nil"/>
              <w:bottom w:val="nil"/>
              <w:right w:val="nil"/>
            </w:tcBorders>
          </w:tcPr>
          <w:p w14:paraId="47001D66" w14:textId="77777777" w:rsidR="003379BD" w:rsidRDefault="003379BD" w:rsidP="00AD441D">
            <w:pPr>
              <w:rPr>
                <w:rFonts w:ascii="Arial" w:hAnsi="Arial"/>
                <w:b/>
                <w:sz w:val="18"/>
              </w:rPr>
            </w:pPr>
            <w:r>
              <w:rPr>
                <w:rFonts w:ascii="Arial" w:hAnsi="Arial"/>
                <w:b/>
                <w:sz w:val="18"/>
              </w:rPr>
              <w:t>Rare Side Effects</w:t>
            </w:r>
          </w:p>
          <w:p w14:paraId="6A749DBB" w14:textId="77777777" w:rsidR="005B0BA7" w:rsidRPr="00C51A32" w:rsidRDefault="005B0BA7" w:rsidP="005B0BA7">
            <w:pPr>
              <w:rPr>
                <w:rFonts w:ascii="Arial" w:hAnsi="Arial" w:cs="Arial"/>
                <w:bCs/>
                <w:color w:val="25282A"/>
                <w:sz w:val="18"/>
                <w:szCs w:val="18"/>
              </w:rPr>
            </w:pPr>
            <w:r w:rsidRPr="00C51A32">
              <w:rPr>
                <w:rFonts w:ascii="Arial" w:hAnsi="Arial" w:cs="Arial"/>
                <w:bCs/>
                <w:color w:val="25282A"/>
                <w:sz w:val="18"/>
                <w:szCs w:val="18"/>
              </w:rPr>
              <w:t>Rare side effects include abnormal dreams, agitation, slow movements, changes in mood, cardiac failure, movement disorders, pancreatitis, blood disorders, and severe rash.</w:t>
            </w:r>
          </w:p>
          <w:p w14:paraId="16D3FA4F" w14:textId="77777777" w:rsidR="005B0BA7" w:rsidRDefault="005B0BA7" w:rsidP="00AD441D">
            <w:pPr>
              <w:rPr>
                <w:b/>
              </w:rPr>
            </w:pPr>
          </w:p>
        </w:tc>
      </w:tr>
      <w:tr w:rsidR="003379BD" w14:paraId="30A43557" w14:textId="77777777" w:rsidTr="008768D6">
        <w:trPr>
          <w:trHeight w:val="576"/>
        </w:trPr>
        <w:tc>
          <w:tcPr>
            <w:tcW w:w="11448" w:type="dxa"/>
            <w:gridSpan w:val="2"/>
            <w:tcBorders>
              <w:top w:val="nil"/>
              <w:left w:val="nil"/>
              <w:bottom w:val="nil"/>
              <w:right w:val="nil"/>
            </w:tcBorders>
          </w:tcPr>
          <w:p w14:paraId="0B2748C1"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7D1EC6E9"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Cardiovascular:</w:t>
            </w:r>
            <w:r w:rsidRPr="00C51A32">
              <w:rPr>
                <w:rFonts w:ascii="Arial" w:hAnsi="Arial" w:cs="Arial"/>
                <w:bCs/>
                <w:color w:val="25282A"/>
                <w:sz w:val="18"/>
                <w:szCs w:val="18"/>
              </w:rPr>
              <w:t xml:space="preserve"> Use with caution in patients with severe cardiovascular disease, including heart failure. Weight gain and/or swelling of extremities may occur. In addition, the effect of weight gain/swelling may be additive with the thiazolidinedione class of antidiabetic agents. Close monitoring recommended.</w:t>
            </w:r>
          </w:p>
          <w:p w14:paraId="20C1DEB2"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Endocrine and Metabolic:</w:t>
            </w:r>
            <w:r w:rsidRPr="00C51A32">
              <w:rPr>
                <w:rFonts w:ascii="Arial" w:hAnsi="Arial" w:cs="Arial"/>
                <w:bCs/>
                <w:color w:val="25282A"/>
                <w:sz w:val="18"/>
                <w:szCs w:val="18"/>
              </w:rPr>
              <w:t xml:space="preserve"> Weight gain has been reported.</w:t>
            </w:r>
          </w:p>
          <w:p w14:paraId="4889047E"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Hematologic:</w:t>
            </w:r>
            <w:r w:rsidRPr="00C51A32">
              <w:rPr>
                <w:rFonts w:ascii="Arial" w:hAnsi="Arial" w:cs="Arial"/>
                <w:bCs/>
                <w:color w:val="25282A"/>
                <w:sz w:val="18"/>
                <w:szCs w:val="18"/>
              </w:rPr>
              <w:t xml:space="preserve"> May decrease platelet count. Severe decreases in platelet count are extremely rare.</w:t>
            </w:r>
          </w:p>
          <w:p w14:paraId="4B7E2798"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 xml:space="preserve">Immunologic: </w:t>
            </w:r>
            <w:r w:rsidRPr="00C51A32">
              <w:rPr>
                <w:rFonts w:ascii="Arial" w:hAnsi="Arial" w:cs="Arial"/>
                <w:bCs/>
                <w:color w:val="25282A"/>
                <w:sz w:val="18"/>
                <w:szCs w:val="18"/>
              </w:rPr>
              <w:t>Angioedema, including life-threatening cases, has been reported, especially in patients with prior episode of angioedema or concurrently taking medications associated with angioedema (eg ACE inhibitors). Discontinue immediately if symptoms develop.</w:t>
            </w:r>
          </w:p>
          <w:p w14:paraId="41C1D98C"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Immunologic:</w:t>
            </w:r>
            <w:r w:rsidRPr="00C51A32">
              <w:rPr>
                <w:rFonts w:ascii="Arial" w:hAnsi="Arial" w:cs="Arial"/>
                <w:bCs/>
                <w:color w:val="25282A"/>
                <w:sz w:val="18"/>
                <w:szCs w:val="18"/>
              </w:rPr>
              <w:t xml:space="preserve"> Hypersensitivity reactions, including skin redness, blisters, hives, rash, dyspnea, and wheezing have been reported. Discontinue immediately if symptoms develop.</w:t>
            </w:r>
          </w:p>
          <w:p w14:paraId="44C395D8"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Musculoskeletal:</w:t>
            </w:r>
            <w:r w:rsidRPr="00C51A32">
              <w:rPr>
                <w:rFonts w:ascii="Arial" w:hAnsi="Arial" w:cs="Arial"/>
                <w:bCs/>
                <w:color w:val="25282A"/>
                <w:sz w:val="18"/>
                <w:szCs w:val="18"/>
              </w:rPr>
              <w:t xml:space="preserve"> Creatinine kinase elevations have been reported. Discontinue if marked elevations occur, or if myopathy is suspected or diagnosed.</w:t>
            </w:r>
          </w:p>
          <w:p w14:paraId="1E584BF9"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Neurologic:</w:t>
            </w:r>
            <w:r w:rsidRPr="00C51A32">
              <w:rPr>
                <w:rFonts w:ascii="Arial" w:hAnsi="Arial" w:cs="Arial"/>
                <w:bCs/>
                <w:color w:val="25282A"/>
                <w:sz w:val="18"/>
                <w:szCs w:val="18"/>
              </w:rPr>
              <w:t xml:space="preserve"> Significant dizziness and somnolence or sedation have been reported. Use caution when performing tasks which require mental alertness (such as operating machinery or driving).</w:t>
            </w:r>
          </w:p>
          <w:p w14:paraId="3C675464"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Ophthalmic:</w:t>
            </w:r>
            <w:r w:rsidRPr="00C51A32">
              <w:rPr>
                <w:rFonts w:ascii="Arial" w:hAnsi="Arial" w:cs="Arial"/>
                <w:bCs/>
                <w:color w:val="25282A"/>
                <w:sz w:val="18"/>
                <w:szCs w:val="18"/>
              </w:rPr>
              <w:t xml:space="preserve"> Vision-related events, including reduced visual acuity, visual field changes, and blurred vision have been reported.</w:t>
            </w:r>
          </w:p>
          <w:p w14:paraId="631D5E5C"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Psychiatric:</w:t>
            </w:r>
            <w:r w:rsidRPr="00C51A32">
              <w:rPr>
                <w:rFonts w:ascii="Arial" w:hAnsi="Arial" w:cs="Arial"/>
                <w:bCs/>
                <w:color w:val="25282A"/>
                <w:sz w:val="18"/>
                <w:szCs w:val="18"/>
              </w:rPr>
              <w:t xml:space="preserve"> Suicidal ideation and behavior, worsening of depression, and unusual changes in mood or behavior may occur as early as 1 week following initiation. Monitoring of mood recommended. If mood changes, report concerns immediately to healthcare provider.</w:t>
            </w:r>
          </w:p>
          <w:p w14:paraId="78B9EE0C" w14:textId="77777777" w:rsidR="005B0BA7" w:rsidRPr="00C51A32" w:rsidRDefault="005B0BA7" w:rsidP="005B0BA7">
            <w:pPr>
              <w:rPr>
                <w:rFonts w:ascii="Arial" w:hAnsi="Arial" w:cs="Arial"/>
                <w:bCs/>
                <w:color w:val="25282A"/>
                <w:sz w:val="18"/>
                <w:szCs w:val="18"/>
              </w:rPr>
            </w:pPr>
            <w:r w:rsidRPr="00C51A32">
              <w:rPr>
                <w:rFonts w:ascii="Arial" w:hAnsi="Arial" w:cs="Arial"/>
                <w:b/>
                <w:bCs/>
                <w:color w:val="25282A"/>
                <w:sz w:val="18"/>
                <w:szCs w:val="18"/>
              </w:rPr>
              <w:t>Renal:</w:t>
            </w:r>
            <w:r w:rsidRPr="00C51A32">
              <w:rPr>
                <w:rFonts w:ascii="Arial" w:hAnsi="Arial" w:cs="Arial"/>
                <w:bCs/>
                <w:color w:val="25282A"/>
                <w:sz w:val="18"/>
                <w:szCs w:val="18"/>
              </w:rPr>
              <w:t xml:space="preserve"> Dosage adjustments recommended in kidney impairment. Use of extended-release tablet not recommended in patients with diminished kidney function or in patients undergoing hemodialysis.</w:t>
            </w:r>
          </w:p>
          <w:p w14:paraId="0FEE4184" w14:textId="77777777" w:rsidR="005B0BA7" w:rsidRDefault="005B0BA7" w:rsidP="005B0BA7">
            <w:pPr>
              <w:rPr>
                <w:rFonts w:ascii="Arial" w:hAnsi="Arial" w:cs="Arial"/>
                <w:bCs/>
                <w:color w:val="25282A"/>
                <w:sz w:val="18"/>
                <w:szCs w:val="18"/>
              </w:rPr>
            </w:pPr>
            <w:r w:rsidRPr="00C51A32">
              <w:rPr>
                <w:rFonts w:ascii="Arial" w:hAnsi="Arial" w:cs="Arial"/>
                <w:b/>
                <w:bCs/>
                <w:color w:val="25282A"/>
                <w:sz w:val="18"/>
                <w:szCs w:val="18"/>
              </w:rPr>
              <w:t>Withdrawal:</w:t>
            </w:r>
            <w:r w:rsidRPr="00C51A32">
              <w:rPr>
                <w:rFonts w:ascii="Arial" w:hAnsi="Arial" w:cs="Arial"/>
                <w:bCs/>
                <w:color w:val="25282A"/>
                <w:sz w:val="18"/>
                <w:szCs w:val="18"/>
              </w:rPr>
              <w:t xml:space="preserve"> Withdrawal seizure or other adverse effects (such as insomnia, nausea, headache, anxiety, hyperhidrosis, and diarrhea) may be precipitated by abrupt discontinuation. Tapering over minimum of 1 week is recommended</w:t>
            </w:r>
            <w:r>
              <w:rPr>
                <w:rFonts w:ascii="Arial" w:hAnsi="Arial" w:cs="Arial"/>
                <w:bCs/>
                <w:color w:val="25282A"/>
                <w:sz w:val="18"/>
                <w:szCs w:val="18"/>
              </w:rPr>
              <w:t>.</w:t>
            </w:r>
          </w:p>
          <w:p w14:paraId="425421DF" w14:textId="77777777" w:rsidR="005B0BA7" w:rsidRDefault="005B0BA7" w:rsidP="005B0BA7">
            <w:pPr>
              <w:rPr>
                <w:b/>
              </w:rPr>
            </w:pPr>
          </w:p>
        </w:tc>
      </w:tr>
      <w:tr w:rsidR="003379BD" w14:paraId="3F211F4C" w14:textId="77777777" w:rsidTr="008768D6">
        <w:trPr>
          <w:trHeight w:hRule="exact" w:val="288"/>
        </w:trPr>
        <w:tc>
          <w:tcPr>
            <w:tcW w:w="11448" w:type="dxa"/>
            <w:gridSpan w:val="2"/>
            <w:tcBorders>
              <w:top w:val="nil"/>
              <w:left w:val="nil"/>
              <w:bottom w:val="single" w:sz="4" w:space="0" w:color="auto"/>
              <w:right w:val="nil"/>
            </w:tcBorders>
            <w:vAlign w:val="bottom"/>
          </w:tcPr>
          <w:p w14:paraId="269F0F77" w14:textId="6B174B6E" w:rsidR="003379BD" w:rsidRDefault="003379BD" w:rsidP="005325D4">
            <w:pPr>
              <w:rPr>
                <w:rFonts w:ascii="Arial" w:hAnsi="Arial"/>
                <w:sz w:val="18"/>
              </w:rPr>
            </w:pPr>
            <w:r>
              <w:rPr>
                <w:rFonts w:ascii="Arial" w:hAnsi="Arial"/>
                <w:sz w:val="18"/>
              </w:rPr>
              <w:t xml:space="preserve">See </w:t>
            </w:r>
            <w:r w:rsidR="008F2CDD">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199F1A6" w14:textId="77777777">
        <w:trPr>
          <w:cantSplit/>
        </w:trPr>
        <w:tc>
          <w:tcPr>
            <w:tcW w:w="11448" w:type="dxa"/>
            <w:gridSpan w:val="2"/>
            <w:tcBorders>
              <w:top w:val="nil"/>
              <w:left w:val="nil"/>
              <w:bottom w:val="nil"/>
              <w:right w:val="nil"/>
            </w:tcBorders>
          </w:tcPr>
          <w:p w14:paraId="74BA82FE" w14:textId="77777777" w:rsidR="003379BD" w:rsidRDefault="003379BD" w:rsidP="00070C29">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240490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73F5E7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5173CB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7820C2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318364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52E788B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17752B3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50830E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647F54A" w14:textId="77777777" w:rsidR="003379BD" w:rsidRDefault="003379BD">
            <w:pPr>
              <w:tabs>
                <w:tab w:val="left" w:pos="360"/>
                <w:tab w:val="left" w:pos="630"/>
              </w:tabs>
              <w:rPr>
                <w:rFonts w:ascii="Arial" w:hAnsi="Arial"/>
                <w:sz w:val="10"/>
              </w:rPr>
            </w:pPr>
          </w:p>
        </w:tc>
      </w:tr>
    </w:tbl>
    <w:p w14:paraId="79D83801"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4433E70" w14:textId="77777777" w:rsidTr="0021563E">
        <w:trPr>
          <w:cantSplit/>
        </w:trPr>
        <w:tc>
          <w:tcPr>
            <w:tcW w:w="9918" w:type="dxa"/>
            <w:gridSpan w:val="5"/>
            <w:tcBorders>
              <w:top w:val="nil"/>
              <w:left w:val="nil"/>
              <w:bottom w:val="nil"/>
              <w:right w:val="nil"/>
            </w:tcBorders>
          </w:tcPr>
          <w:p w14:paraId="76E9823C"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7362C02" w14:textId="77777777" w:rsidR="003379BD" w:rsidRDefault="005325D4" w:rsidP="0021563E">
            <w:pPr>
              <w:ind w:left="-18"/>
              <w:rPr>
                <w:rFonts w:ascii="Arial" w:hAnsi="Arial"/>
                <w:b/>
                <w:sz w:val="18"/>
              </w:rPr>
            </w:pPr>
            <w:r>
              <w:rPr>
                <w:rFonts w:ascii="Arial" w:hAnsi="Arial"/>
                <w:b/>
                <w:sz w:val="18"/>
              </w:rPr>
              <w:t>DATE SIGNED</w:t>
            </w:r>
          </w:p>
        </w:tc>
      </w:tr>
      <w:tr w:rsidR="003379BD" w14:paraId="5AF9D20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2BF3650"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C937CF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12F05A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3F78D70" w14:textId="77777777" w:rsidR="003379BD" w:rsidRDefault="003379BD">
            <w:pPr>
              <w:rPr>
                <w:rFonts w:ascii="Arial" w:hAnsi="Arial"/>
                <w:sz w:val="18"/>
              </w:rPr>
            </w:pPr>
          </w:p>
        </w:tc>
      </w:tr>
      <w:tr w:rsidR="003379BD" w14:paraId="0039012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CFA8C2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2DF0CC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1F9337C" w14:textId="77777777" w:rsidR="003379BD" w:rsidRDefault="003379BD">
            <w:pPr>
              <w:rPr>
                <w:rFonts w:ascii="Arial" w:hAnsi="Arial"/>
                <w:sz w:val="18"/>
              </w:rPr>
            </w:pPr>
          </w:p>
        </w:tc>
      </w:tr>
      <w:tr w:rsidR="007A6FC3" w14:paraId="10B81E94" w14:textId="77777777">
        <w:trPr>
          <w:cantSplit/>
          <w:trHeight w:hRule="exact" w:val="864"/>
        </w:trPr>
        <w:tc>
          <w:tcPr>
            <w:tcW w:w="11448" w:type="dxa"/>
            <w:gridSpan w:val="6"/>
            <w:tcBorders>
              <w:top w:val="single" w:sz="4" w:space="0" w:color="auto"/>
              <w:left w:val="nil"/>
              <w:bottom w:val="single" w:sz="4" w:space="0" w:color="auto"/>
              <w:right w:val="nil"/>
            </w:tcBorders>
          </w:tcPr>
          <w:p w14:paraId="25ED03D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755CAB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279D7B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BE5936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14FC28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0515CA4"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15577C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6E16D6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12EED47"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12A2F">
              <w:rPr>
                <w:rFonts w:ascii="Arial" w:hAnsi="Arial"/>
                <w:sz w:val="18"/>
              </w:rPr>
            </w:r>
            <w:r w:rsidR="00B12A2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DB5005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C5BBA9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613503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DF867DA"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3DBFEC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6ACC" w14:textId="77777777" w:rsidR="003B3524" w:rsidRDefault="003B3524" w:rsidP="007A6FC3">
      <w:r>
        <w:separator/>
      </w:r>
    </w:p>
  </w:endnote>
  <w:endnote w:type="continuationSeparator" w:id="0">
    <w:p w14:paraId="109A0204" w14:textId="77777777" w:rsidR="003B3524" w:rsidRDefault="003B352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205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A9B13"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9B7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DAD14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9550B90" w14:textId="77777777" w:rsidTr="00CC7A80">
      <w:tc>
        <w:tcPr>
          <w:tcW w:w="1932" w:type="dxa"/>
          <w:shd w:val="clear" w:color="auto" w:fill="auto"/>
        </w:tcPr>
        <w:p w14:paraId="405E73C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28CE5D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25A8B0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694532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347C8C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3EE558F" w14:textId="77777777" w:rsidR="0018307F" w:rsidRPr="00CC7A80" w:rsidRDefault="0018307F" w:rsidP="00CC7A80">
          <w:pPr>
            <w:pStyle w:val="Footer"/>
            <w:jc w:val="right"/>
            <w:rPr>
              <w:rFonts w:ascii="Arial" w:hAnsi="Arial" w:cs="Arial"/>
              <w:sz w:val="18"/>
              <w:szCs w:val="18"/>
            </w:rPr>
          </w:pPr>
        </w:p>
      </w:tc>
    </w:tr>
  </w:tbl>
  <w:p w14:paraId="7EA9917D" w14:textId="77777777" w:rsidR="0018307F" w:rsidRDefault="0018307F" w:rsidP="0021563E">
    <w:pPr>
      <w:pStyle w:val="Footer"/>
      <w:jc w:val="right"/>
    </w:pPr>
  </w:p>
  <w:p w14:paraId="4A3F641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A79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7B9">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5B31AEC" w14:textId="77777777" w:rsidTr="00CC7A80">
      <w:tc>
        <w:tcPr>
          <w:tcW w:w="1932" w:type="dxa"/>
          <w:shd w:val="clear" w:color="auto" w:fill="auto"/>
        </w:tcPr>
        <w:p w14:paraId="10EF8C8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0EF77A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DCF171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CB6A99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6961CC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7DB5E08" w14:textId="77777777" w:rsidR="0018307F" w:rsidRPr="00CC7A80" w:rsidRDefault="0018307F" w:rsidP="00CC7A80">
          <w:pPr>
            <w:pStyle w:val="Footer"/>
            <w:jc w:val="right"/>
            <w:rPr>
              <w:rFonts w:ascii="Arial" w:hAnsi="Arial" w:cs="Arial"/>
              <w:sz w:val="18"/>
              <w:szCs w:val="18"/>
            </w:rPr>
          </w:pPr>
        </w:p>
      </w:tc>
    </w:tr>
  </w:tbl>
  <w:p w14:paraId="631C842F"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D51A" w14:textId="77777777" w:rsidR="003B3524" w:rsidRDefault="003B3524" w:rsidP="007A6FC3">
      <w:r>
        <w:separator/>
      </w:r>
    </w:p>
  </w:footnote>
  <w:footnote w:type="continuationSeparator" w:id="0">
    <w:p w14:paraId="30374B7D" w14:textId="77777777" w:rsidR="003B3524" w:rsidRDefault="003B352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58607947">
    <w:abstractNumId w:val="1"/>
  </w:num>
  <w:num w:numId="2" w16cid:durableId="363671447">
    <w:abstractNumId w:val="3"/>
  </w:num>
  <w:num w:numId="3" w16cid:durableId="1980064626">
    <w:abstractNumId w:val="2"/>
  </w:num>
  <w:num w:numId="4" w16cid:durableId="109964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Gm5AVn4ZeFKc5/zOlVGZRs526PAOE73bvqAcUngmeY/zi12cEC6lvFyk7Kgjyms19Y57EOkyXbSyiRCz8w+A==" w:salt="BderLGuVgqDqI/O3x4Oz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0C29"/>
    <w:rsid w:val="000755E2"/>
    <w:rsid w:val="00082C72"/>
    <w:rsid w:val="00097390"/>
    <w:rsid w:val="000E25AD"/>
    <w:rsid w:val="00101422"/>
    <w:rsid w:val="001361AF"/>
    <w:rsid w:val="0018307F"/>
    <w:rsid w:val="001B17B9"/>
    <w:rsid w:val="001B5568"/>
    <w:rsid w:val="00206191"/>
    <w:rsid w:val="0021563E"/>
    <w:rsid w:val="00295B89"/>
    <w:rsid w:val="00311731"/>
    <w:rsid w:val="0031599E"/>
    <w:rsid w:val="003379BD"/>
    <w:rsid w:val="00390818"/>
    <w:rsid w:val="003A15FD"/>
    <w:rsid w:val="003B2EF9"/>
    <w:rsid w:val="003B3524"/>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B0BA7"/>
    <w:rsid w:val="005B1155"/>
    <w:rsid w:val="005C03B7"/>
    <w:rsid w:val="00606B81"/>
    <w:rsid w:val="00621771"/>
    <w:rsid w:val="00622264"/>
    <w:rsid w:val="00644115"/>
    <w:rsid w:val="0064565E"/>
    <w:rsid w:val="00653309"/>
    <w:rsid w:val="00683097"/>
    <w:rsid w:val="006B7A42"/>
    <w:rsid w:val="00703CDE"/>
    <w:rsid w:val="00775C94"/>
    <w:rsid w:val="007A6FC3"/>
    <w:rsid w:val="007B70D7"/>
    <w:rsid w:val="007F44C1"/>
    <w:rsid w:val="008768D6"/>
    <w:rsid w:val="00884617"/>
    <w:rsid w:val="008D1C36"/>
    <w:rsid w:val="008F2CDD"/>
    <w:rsid w:val="00916D82"/>
    <w:rsid w:val="00927055"/>
    <w:rsid w:val="00934FD5"/>
    <w:rsid w:val="009B59D3"/>
    <w:rsid w:val="00A22DDB"/>
    <w:rsid w:val="00A34F93"/>
    <w:rsid w:val="00A60207"/>
    <w:rsid w:val="00AA7ED4"/>
    <w:rsid w:val="00AB1650"/>
    <w:rsid w:val="00AD441D"/>
    <w:rsid w:val="00B12A2F"/>
    <w:rsid w:val="00B1786E"/>
    <w:rsid w:val="00B24943"/>
    <w:rsid w:val="00B47C64"/>
    <w:rsid w:val="00B64324"/>
    <w:rsid w:val="00B82162"/>
    <w:rsid w:val="00B83999"/>
    <w:rsid w:val="00BA7FE1"/>
    <w:rsid w:val="00CA71B6"/>
    <w:rsid w:val="00CA7C90"/>
    <w:rsid w:val="00CC7A80"/>
    <w:rsid w:val="00CF16BF"/>
    <w:rsid w:val="00D40FF6"/>
    <w:rsid w:val="00D77F6A"/>
    <w:rsid w:val="00DF0FF9"/>
    <w:rsid w:val="00E02750"/>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511794"/>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8287</Characters>
  <Application>Microsoft Office Word</Application>
  <DocSecurity>0</DocSecurity>
  <Lines>188</Lines>
  <Paragraphs>154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2024-05-06T15:09:00Z</dcterms:created>
  <dcterms:modified xsi:type="dcterms:W3CDTF">2024-05-06T15:09:00Z</dcterms:modified>
</cp:coreProperties>
</file>