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9B3CE3">
              <w:rPr>
                <w:noProof/>
              </w:rPr>
              <w:t>12/20/2016</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9B3CE3" w:rsidTr="005E3E73">
        <w:trPr>
          <w:cantSplit/>
        </w:trPr>
        <w:tc>
          <w:tcPr>
            <w:tcW w:w="3168" w:type="dxa"/>
            <w:tcBorders>
              <w:top w:val="single" w:sz="4" w:space="0" w:color="auto"/>
              <w:left w:val="nil"/>
              <w:bottom w:val="single" w:sz="4" w:space="0" w:color="auto"/>
            </w:tcBorders>
          </w:tcPr>
          <w:p w:rsidR="009B3CE3" w:rsidRDefault="009B3CE3" w:rsidP="005E3E73">
            <w:pPr>
              <w:spacing w:before="60"/>
              <w:rPr>
                <w:sz w:val="22"/>
              </w:rPr>
            </w:pPr>
            <w:r w:rsidRPr="00F125E2">
              <w:rPr>
                <w:noProof/>
                <w:sz w:val="22"/>
              </w:rPr>
              <w:t xml:space="preserve">Sedative-hypnotic </w:t>
            </w:r>
          </w:p>
        </w:tc>
        <w:tc>
          <w:tcPr>
            <w:tcW w:w="3420" w:type="dxa"/>
            <w:gridSpan w:val="5"/>
            <w:tcBorders>
              <w:top w:val="single" w:sz="4" w:space="0" w:color="auto"/>
              <w:bottom w:val="single" w:sz="4" w:space="0" w:color="auto"/>
              <w:right w:val="nil"/>
            </w:tcBorders>
          </w:tcPr>
          <w:p w:rsidR="009B3CE3" w:rsidRDefault="009B3CE3" w:rsidP="005E3E73">
            <w:pPr>
              <w:tabs>
                <w:tab w:val="left" w:pos="702"/>
                <w:tab w:val="left" w:pos="882"/>
                <w:tab w:val="left" w:pos="1152"/>
                <w:tab w:val="left" w:pos="1602"/>
              </w:tabs>
              <w:rPr>
                <w:sz w:val="22"/>
              </w:rPr>
            </w:pPr>
            <w:r w:rsidRPr="00F125E2">
              <w:rPr>
                <w:noProof/>
                <w:sz w:val="22"/>
              </w:rPr>
              <w:t>Rozerem</w:t>
            </w:r>
          </w:p>
          <w:p w:rsidR="009B3CE3" w:rsidRDefault="009B3CE3" w:rsidP="005E3E73">
            <w:pPr>
              <w:tabs>
                <w:tab w:val="left" w:pos="702"/>
                <w:tab w:val="left" w:pos="882"/>
                <w:tab w:val="left" w:pos="1152"/>
                <w:tab w:val="left" w:pos="1602"/>
              </w:tabs>
              <w:rPr>
                <w:sz w:val="22"/>
              </w:rPr>
            </w:pPr>
            <w:r>
              <w:rPr>
                <w:sz w:val="22"/>
              </w:rPr>
              <w:t>(</w:t>
            </w:r>
            <w:r w:rsidRPr="00F125E2">
              <w:rPr>
                <w:noProof/>
                <w:sz w:val="22"/>
              </w:rPr>
              <w:t>ramelteon</w:t>
            </w:r>
            <w:r>
              <w:rPr>
                <w:sz w:val="22"/>
              </w:rPr>
              <w:t>)</w:t>
            </w:r>
          </w:p>
        </w:tc>
        <w:tc>
          <w:tcPr>
            <w:tcW w:w="3420" w:type="dxa"/>
            <w:gridSpan w:val="3"/>
            <w:tcBorders>
              <w:top w:val="single" w:sz="4" w:space="0" w:color="auto"/>
              <w:bottom w:val="single" w:sz="4" w:space="0" w:color="auto"/>
              <w:right w:val="nil"/>
            </w:tcBorders>
            <w:vAlign w:val="center"/>
          </w:tcPr>
          <w:p w:rsidR="009B3CE3" w:rsidRDefault="009B3CE3" w:rsidP="005E3E73">
            <w:pPr>
              <w:tabs>
                <w:tab w:val="left" w:pos="702"/>
                <w:tab w:val="left" w:pos="882"/>
                <w:tab w:val="left" w:pos="1152"/>
                <w:tab w:val="left" w:pos="1602"/>
              </w:tabs>
              <w:rPr>
                <w:sz w:val="22"/>
              </w:rPr>
            </w:pPr>
            <w:r w:rsidRPr="00F125E2">
              <w:rPr>
                <w:noProof/>
                <w:sz w:val="22"/>
              </w:rPr>
              <w:t>Adults—8mg at bedtime</w:t>
            </w:r>
          </w:p>
        </w:tc>
        <w:tc>
          <w:tcPr>
            <w:tcW w:w="1440" w:type="dxa"/>
            <w:tcBorders>
              <w:top w:val="single" w:sz="4" w:space="0" w:color="auto"/>
              <w:bottom w:val="single" w:sz="4" w:space="0" w:color="auto"/>
              <w:right w:val="nil"/>
            </w:tcBorders>
            <w:vAlign w:val="center"/>
          </w:tcPr>
          <w:p w:rsidR="009B3CE3" w:rsidRDefault="009B3CE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9B3CE3">
        <w:trPr>
          <w:tblHeader/>
        </w:trPr>
        <w:tc>
          <w:tcPr>
            <w:tcW w:w="4788" w:type="dxa"/>
            <w:tcBorders>
              <w:top w:val="nil"/>
              <w:left w:val="nil"/>
              <w:bottom w:val="nil"/>
              <w:right w:val="nil"/>
            </w:tcBorders>
          </w:tcPr>
          <w:p w:rsidR="009B3CE3" w:rsidRDefault="009B3CE3">
            <w:pPr>
              <w:spacing w:after="120"/>
              <w:rPr>
                <w:rFonts w:ascii="Arial" w:hAnsi="Arial"/>
                <w:sz w:val="18"/>
              </w:rPr>
            </w:pPr>
            <w:r>
              <w:rPr>
                <w:rFonts w:ascii="Arial" w:hAnsi="Arial"/>
                <w:sz w:val="16"/>
              </w:rPr>
              <w:t xml:space="preserve">F-24277  </w:t>
            </w:r>
          </w:p>
        </w:tc>
        <w:tc>
          <w:tcPr>
            <w:tcW w:w="6660" w:type="dxa"/>
            <w:tcBorders>
              <w:top w:val="nil"/>
              <w:left w:val="nil"/>
              <w:bottom w:val="nil"/>
              <w:right w:val="nil"/>
            </w:tcBorders>
          </w:tcPr>
          <w:p w:rsidR="009B3CE3" w:rsidRDefault="009B3CE3" w:rsidP="005E3E73">
            <w:pPr>
              <w:rPr>
                <w:rFonts w:ascii="Arial" w:hAnsi="Arial"/>
                <w:sz w:val="18"/>
              </w:rPr>
            </w:pPr>
            <w:r>
              <w:rPr>
                <w:rFonts w:ascii="Arial" w:hAnsi="Arial"/>
                <w:sz w:val="18"/>
              </w:rPr>
              <w:t xml:space="preserve">Medication : </w:t>
            </w:r>
            <w:r w:rsidRPr="00F125E2">
              <w:rPr>
                <w:noProof/>
                <w:sz w:val="22"/>
              </w:rPr>
              <w:t>Rozerem</w:t>
            </w:r>
            <w:r>
              <w:rPr>
                <w:sz w:val="22"/>
              </w:rPr>
              <w:t xml:space="preserve"> -</w:t>
            </w:r>
            <w:r>
              <w:rPr>
                <w:rFonts w:ascii="Arial" w:hAnsi="Arial"/>
                <w:sz w:val="18"/>
              </w:rPr>
              <w:t xml:space="preserve"> (</w:t>
            </w:r>
            <w:r w:rsidRPr="00F125E2">
              <w:rPr>
                <w:noProof/>
                <w:sz w:val="22"/>
              </w:rPr>
              <w:t>ramelteon</w:t>
            </w:r>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9B3CE3" w:rsidRDefault="009B3CE3" w:rsidP="009B3CE3">
            <w:pPr>
              <w:rPr>
                <w:rFonts w:ascii="Arial" w:hAnsi="Arial"/>
                <w:sz w:val="18"/>
              </w:rPr>
            </w:pPr>
            <w:r w:rsidRPr="00F125E2">
              <w:rPr>
                <w:rFonts w:ascii="Arial" w:hAnsi="Arial"/>
                <w:noProof/>
                <w:sz w:val="18"/>
              </w:rPr>
              <w:t>More common side effects may include: dizziness; sleepiness or unusual drowsiness.</w:t>
            </w:r>
          </w:p>
          <w:p w:rsidR="009B3CE3" w:rsidRPr="009B3CE3" w:rsidRDefault="009B3CE3" w:rsidP="009B3CE3"/>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9B3CE3" w:rsidRDefault="009B3CE3" w:rsidP="009B3CE3">
            <w:pPr>
              <w:rPr>
                <w:rFonts w:ascii="Arial" w:hAnsi="Arial"/>
                <w:sz w:val="18"/>
              </w:rPr>
            </w:pPr>
            <w:r w:rsidRPr="00F125E2">
              <w:rPr>
                <w:rFonts w:ascii="Arial" w:hAnsi="Arial"/>
                <w:noProof/>
                <w:sz w:val="18"/>
              </w:rPr>
              <w:t>Less common side effects may include: Body aches or pain; change in taste; chills; cough; difficulty in breathing; difficulty in moving; discouragement; ear congestion; fatigue; feeling sad or empty; fever; general feeling of discomfort or illness; irritability; joint pain; loss of appetite; loss of interest or pleasure; loss of taste; loss of voice; muscle aching or cramping; muscle pain or stiffness; nasal congestion; nausea; pain in joints; runny nose; shivering; sleeplessness; sneezing, or sore throat; sore throat; sweating; swollen joints; trouble concentrating; trouble sleeping; unable to sleep; unusual tiredness or weakness; vomiting.</w:t>
            </w:r>
          </w:p>
          <w:p w:rsidR="009B3CE3" w:rsidRDefault="009B3CE3" w:rsidP="00AD441D">
            <w:pPr>
              <w:rPr>
                <w:b/>
              </w:rPr>
            </w:pPr>
          </w:p>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9B3CE3" w:rsidRDefault="009B3CE3" w:rsidP="009B3CE3">
            <w:pPr>
              <w:rPr>
                <w:rFonts w:ascii="Arial" w:hAnsi="Arial"/>
                <w:sz w:val="18"/>
              </w:rPr>
            </w:pPr>
            <w:r w:rsidRPr="00F125E2">
              <w:rPr>
                <w:rFonts w:ascii="Arial" w:hAnsi="Arial"/>
                <w:noProof/>
                <w:sz w:val="18"/>
              </w:rPr>
              <w:t>Take ramelteon just before going to bed, when you are ready to go to sleep. This medicine works very quickly to put you to sleep.</w:t>
            </w:r>
            <w:r w:rsidRPr="00F125E2">
              <w:rPr>
                <w:rFonts w:ascii="Arial" w:hAnsi="Arial"/>
                <w:noProof/>
                <w:sz w:val="18"/>
              </w:rPr>
              <w:br/>
            </w:r>
            <w:r w:rsidRPr="00F125E2">
              <w:rPr>
                <w:rFonts w:ascii="Arial" w:hAnsi="Arial"/>
                <w:noProof/>
                <w:sz w:val="18"/>
              </w:rPr>
              <w:br/>
              <w:t>If cessation of menstrual cycle (females), decreased libido, or problems with fertility occur, be sure to discuss it with your doctor.</w:t>
            </w:r>
          </w:p>
          <w:p w:rsidR="009B3CE3" w:rsidRDefault="009B3CE3" w:rsidP="00AD441D">
            <w:pPr>
              <w:rPr>
                <w:b/>
              </w:rPr>
            </w:pPr>
          </w:p>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Warning</w:t>
            </w:r>
          </w:p>
          <w:p w:rsidR="009B3CE3" w:rsidRDefault="009B3CE3" w:rsidP="009B3CE3">
            <w:pPr>
              <w:rPr>
                <w:rFonts w:ascii="Arial" w:hAnsi="Arial"/>
                <w:sz w:val="18"/>
              </w:rPr>
            </w:pPr>
            <w:r w:rsidRPr="00AF3B84">
              <w:rPr>
                <w:rFonts w:ascii="Arial" w:hAnsi="Arial"/>
                <w:b/>
                <w:sz w:val="18"/>
              </w:rPr>
              <w:t>Severe Anaphylactic and Anaphylactoid Reactions</w:t>
            </w:r>
            <w:r>
              <w:rPr>
                <w:rFonts w:ascii="Arial" w:hAnsi="Arial"/>
                <w:b/>
                <w:sz w:val="18"/>
              </w:rPr>
              <w:t xml:space="preserve">: </w:t>
            </w:r>
            <w:r w:rsidRPr="00AF3B84">
              <w:rPr>
                <w:rFonts w:ascii="Arial" w:hAnsi="Arial"/>
                <w:sz w:val="18"/>
              </w:rPr>
              <w:t>Rare cases of angioedema involving the tongue, glottis or larynx have been reported in patients after taking the first or subsequent doses of ramelteon. Some patients have had additional symptoms such as dyspnea, throat closing, or nausea and vomiting that suggest anaphylaxis. Some patients have required medical therapy in the emergency department. If angioedema involves the tongue, glottis or larynx, airway obstruction may occur and be fatal.  Patients who develop angioedema after treatment with ramelteon should not be rechallenged with the drug.</w:t>
            </w:r>
          </w:p>
          <w:p w:rsidR="009B3CE3" w:rsidRPr="00AF3B84" w:rsidRDefault="009B3CE3" w:rsidP="009B3CE3">
            <w:pPr>
              <w:rPr>
                <w:rFonts w:ascii="Arial" w:hAnsi="Arial"/>
                <w:sz w:val="18"/>
              </w:rPr>
            </w:pPr>
          </w:p>
          <w:p w:rsidR="009B3CE3" w:rsidRDefault="009B3CE3" w:rsidP="009B3CE3">
            <w:pPr>
              <w:rPr>
                <w:rFonts w:ascii="Arial" w:hAnsi="Arial"/>
                <w:sz w:val="18"/>
              </w:rPr>
            </w:pPr>
            <w:r w:rsidRPr="00AF3B84">
              <w:rPr>
                <w:rFonts w:ascii="Arial" w:hAnsi="Arial"/>
                <w:b/>
                <w:sz w:val="18"/>
              </w:rPr>
              <w:t>Need to Evaluate for Co-morbid Diagnoses</w:t>
            </w:r>
            <w:r>
              <w:rPr>
                <w:rFonts w:ascii="Arial" w:hAnsi="Arial"/>
                <w:b/>
                <w:sz w:val="18"/>
              </w:rPr>
              <w:t xml:space="preserve">: </w:t>
            </w:r>
            <w:r w:rsidRPr="00AF3B84">
              <w:rPr>
                <w:rFonts w:ascii="Arial" w:hAnsi="Arial"/>
                <w:sz w:val="18"/>
              </w:rPr>
              <w:t>Since sleep disturbances may be the presenting manifestation of a physical and/or psychiatric disorder, symptomatic treatment of insomnia should be initiated only after a careful evaluation of the patient. The failure of insomnia to remit after 7 to 10 days of treatment may indicate the presence of a primary psychiatric and/or medical illness that should be evaluated. Worsening of insomnia, or the emergence of new cognitive or behavioral abnormalities, may be the result of an unrecognized underlying psychiatric or physical disorder and requires further evaluation of the patient. Exacerbation of insomnia and emergence of cognitive and behavioral abnormalities were seen with ramelteon during the clinical development program.</w:t>
            </w:r>
          </w:p>
          <w:p w:rsidR="009B3CE3" w:rsidRPr="00AF3B84" w:rsidRDefault="009B3CE3" w:rsidP="009B3CE3">
            <w:pPr>
              <w:rPr>
                <w:rFonts w:ascii="Arial" w:hAnsi="Arial"/>
                <w:sz w:val="18"/>
              </w:rPr>
            </w:pPr>
          </w:p>
          <w:p w:rsidR="009B3CE3" w:rsidRDefault="009B3CE3" w:rsidP="009B3CE3">
            <w:pPr>
              <w:rPr>
                <w:rFonts w:ascii="Arial" w:hAnsi="Arial"/>
                <w:sz w:val="18"/>
              </w:rPr>
            </w:pPr>
            <w:r w:rsidRPr="00AF3B84">
              <w:rPr>
                <w:rFonts w:ascii="Arial" w:hAnsi="Arial"/>
                <w:b/>
                <w:sz w:val="18"/>
              </w:rPr>
              <w:t>Abnormal Thinking and Behavioral Changes</w:t>
            </w:r>
            <w:r>
              <w:rPr>
                <w:rFonts w:ascii="Arial" w:hAnsi="Arial"/>
                <w:b/>
                <w:sz w:val="18"/>
              </w:rPr>
              <w:t xml:space="preserve">: </w:t>
            </w:r>
            <w:r w:rsidRPr="00AF3B84">
              <w:rPr>
                <w:rFonts w:ascii="Arial" w:hAnsi="Arial"/>
                <w:sz w:val="18"/>
              </w:rPr>
              <w:t xml:space="preserve">A variety of cognitive and behavior changes have been reported to occur in association with the use of hypnotics. In primarily depressed patients, worsening of depression (including suicidal ideation and completed suicides) </w:t>
            </w:r>
            <w:proofErr w:type="gramStart"/>
            <w:r w:rsidRPr="00AF3B84">
              <w:rPr>
                <w:rFonts w:ascii="Arial" w:hAnsi="Arial"/>
                <w:sz w:val="18"/>
              </w:rPr>
              <w:t>have</w:t>
            </w:r>
            <w:proofErr w:type="gramEnd"/>
            <w:r w:rsidRPr="00AF3B84">
              <w:rPr>
                <w:rFonts w:ascii="Arial" w:hAnsi="Arial"/>
                <w:sz w:val="18"/>
              </w:rPr>
              <w:t xml:space="preserve"> been reported in association with the use of hypnotics. Hallucinations, as well as behavioral changes such as bizarre behavior, agitation and mania have been reported with ramelteon use.  Amnesia, anxiety and other neuro-psychiatric symptoms may also occur unpredictably. Complex behaviors such as "sleep-driving" (i.e., driving while not fully awake after ingestion of a hypnotic) and other complex behaviors (e.g., preparing and eating food, making phone calls, or having sex), with amnesia for the event, have been reported in association with hypnotic use. The use of alcohol and other CNS depressants may increase the risk of such behaviors. These events can occur in hypnotic-naive as well as in hypnotic-experienced persons. Complex behaviors have been reported with the use of ramelteon. Discontinuation of ramelteon should be strongly considered for patients who report any complex sleep behavior.</w:t>
            </w:r>
          </w:p>
          <w:p w:rsidR="009B3CE3" w:rsidRPr="00AF3B84" w:rsidRDefault="009B3CE3" w:rsidP="009B3CE3">
            <w:pPr>
              <w:rPr>
                <w:rFonts w:ascii="Arial" w:hAnsi="Arial"/>
                <w:sz w:val="18"/>
              </w:rPr>
            </w:pPr>
          </w:p>
          <w:p w:rsidR="009B3CE3" w:rsidRDefault="009B3CE3" w:rsidP="009B3CE3">
            <w:pPr>
              <w:rPr>
                <w:rFonts w:ascii="Arial" w:hAnsi="Arial"/>
                <w:sz w:val="18"/>
              </w:rPr>
            </w:pPr>
            <w:r w:rsidRPr="00AF3B84">
              <w:rPr>
                <w:rFonts w:ascii="Arial" w:hAnsi="Arial"/>
                <w:b/>
                <w:sz w:val="18"/>
              </w:rPr>
              <w:t>CNS Effects</w:t>
            </w:r>
            <w:r>
              <w:rPr>
                <w:rFonts w:ascii="Arial" w:hAnsi="Arial"/>
                <w:b/>
                <w:sz w:val="18"/>
              </w:rPr>
              <w:t xml:space="preserve">: </w:t>
            </w:r>
            <w:r w:rsidRPr="00AF3B84">
              <w:rPr>
                <w:rFonts w:ascii="Arial" w:hAnsi="Arial"/>
                <w:sz w:val="18"/>
              </w:rPr>
              <w:t xml:space="preserve">Patients should avoid engaging in hazardous activities that require concentration (such as operating </w:t>
            </w:r>
            <w:proofErr w:type="gramStart"/>
            <w:r w:rsidRPr="00AF3B84">
              <w:rPr>
                <w:rFonts w:ascii="Arial" w:hAnsi="Arial"/>
                <w:sz w:val="18"/>
              </w:rPr>
              <w:t>a motor</w:t>
            </w:r>
            <w:proofErr w:type="gramEnd"/>
            <w:r w:rsidRPr="00AF3B84">
              <w:rPr>
                <w:rFonts w:ascii="Arial" w:hAnsi="Arial"/>
                <w:sz w:val="18"/>
              </w:rPr>
              <w:t xml:space="preserve"> vehicle or heavy machinery) after taking ramelteon. After taking ramelteon, patients should confine their activities to those necessary to prepare for bed.</w:t>
            </w:r>
          </w:p>
          <w:p w:rsidR="009B3CE3" w:rsidRPr="00AF3B84" w:rsidRDefault="009B3CE3" w:rsidP="009B3CE3">
            <w:pPr>
              <w:rPr>
                <w:rFonts w:ascii="Arial" w:hAnsi="Arial"/>
                <w:sz w:val="18"/>
              </w:rPr>
            </w:pPr>
          </w:p>
          <w:p w:rsidR="009B3CE3" w:rsidRDefault="009B3CE3" w:rsidP="009B3CE3">
            <w:pPr>
              <w:rPr>
                <w:rFonts w:ascii="Arial" w:hAnsi="Arial"/>
                <w:sz w:val="18"/>
              </w:rPr>
            </w:pPr>
            <w:r w:rsidRPr="00AF3B84">
              <w:rPr>
                <w:rFonts w:ascii="Arial" w:hAnsi="Arial"/>
                <w:sz w:val="18"/>
              </w:rPr>
              <w:t>Patients should be advised not to consume alcohol in combination with ramelteon as alcohol and ramelteon may have additive effects when use in conjunction.</w:t>
            </w:r>
          </w:p>
          <w:p w:rsidR="009B3CE3" w:rsidRPr="00AF3B84" w:rsidRDefault="009B3CE3" w:rsidP="009B3CE3">
            <w:pPr>
              <w:rPr>
                <w:rFonts w:ascii="Arial" w:hAnsi="Arial"/>
                <w:sz w:val="18"/>
              </w:rPr>
            </w:pPr>
          </w:p>
          <w:p w:rsidR="009B3CE3" w:rsidRPr="00AF3B84" w:rsidRDefault="009B3CE3" w:rsidP="009B3CE3">
            <w:pPr>
              <w:rPr>
                <w:rFonts w:ascii="Arial" w:hAnsi="Arial"/>
                <w:b/>
                <w:sz w:val="18"/>
              </w:rPr>
            </w:pPr>
            <w:r w:rsidRPr="00AF3B84">
              <w:rPr>
                <w:rFonts w:ascii="Arial" w:hAnsi="Arial"/>
                <w:b/>
                <w:sz w:val="18"/>
              </w:rPr>
              <w:t>Reproductive Effects</w:t>
            </w:r>
          </w:p>
          <w:p w:rsidR="009B3CE3" w:rsidRDefault="009B3CE3" w:rsidP="009B3CE3">
            <w:pPr>
              <w:rPr>
                <w:rFonts w:ascii="Arial" w:hAnsi="Arial"/>
                <w:sz w:val="18"/>
              </w:rPr>
            </w:pPr>
            <w:r w:rsidRPr="00AF3B84">
              <w:rPr>
                <w:rFonts w:ascii="Arial" w:hAnsi="Arial"/>
                <w:sz w:val="18"/>
              </w:rPr>
              <w:t>Use in Adolescents and Children</w:t>
            </w:r>
            <w:r>
              <w:rPr>
                <w:rFonts w:ascii="Arial" w:hAnsi="Arial"/>
                <w:sz w:val="18"/>
              </w:rPr>
              <w:t xml:space="preserve">: </w:t>
            </w:r>
            <w:r w:rsidRPr="00AF3B84">
              <w:rPr>
                <w:rFonts w:ascii="Arial" w:hAnsi="Arial"/>
                <w:sz w:val="18"/>
              </w:rPr>
              <w:t>Ramelteon has been associated with an effect on reproductive hormones in adults, e.g., decreased testosterone levels and increased prolactin levels. It is not known what effect chronic or even chronic intermittent use of ramelteon may have on the reproductive axis in developing humans.</w:t>
            </w:r>
          </w:p>
          <w:p w:rsidR="009B3CE3" w:rsidRPr="00AF3B84" w:rsidRDefault="009B3CE3" w:rsidP="009B3CE3">
            <w:pPr>
              <w:rPr>
                <w:rFonts w:ascii="Arial" w:hAnsi="Arial"/>
                <w:sz w:val="18"/>
              </w:rPr>
            </w:pPr>
          </w:p>
          <w:p w:rsidR="009B3CE3" w:rsidRDefault="009B3CE3" w:rsidP="009B3CE3">
            <w:pPr>
              <w:rPr>
                <w:rFonts w:ascii="Arial" w:hAnsi="Arial"/>
                <w:sz w:val="18"/>
              </w:rPr>
            </w:pPr>
            <w:r w:rsidRPr="00AF3B84">
              <w:rPr>
                <w:rFonts w:ascii="Arial" w:hAnsi="Arial"/>
                <w:sz w:val="18"/>
              </w:rPr>
              <w:t>Use in Patients with Concomitant Illness</w:t>
            </w:r>
            <w:r>
              <w:rPr>
                <w:rFonts w:ascii="Arial" w:hAnsi="Arial"/>
                <w:sz w:val="18"/>
              </w:rPr>
              <w:t xml:space="preserve">: </w:t>
            </w:r>
            <w:r w:rsidRPr="00AF3B84">
              <w:rPr>
                <w:rFonts w:ascii="Arial" w:hAnsi="Arial"/>
                <w:sz w:val="18"/>
              </w:rPr>
              <w:t>Ramelteon has not been studied in subjects with severe sleep apnea and is not recommended for use in this population.</w:t>
            </w:r>
          </w:p>
          <w:p w:rsidR="009B3CE3" w:rsidRPr="00AF3B84" w:rsidRDefault="009B3CE3" w:rsidP="009B3CE3">
            <w:pPr>
              <w:rPr>
                <w:rFonts w:ascii="Arial" w:hAnsi="Arial"/>
                <w:sz w:val="18"/>
              </w:rPr>
            </w:pPr>
          </w:p>
          <w:p w:rsidR="009B3CE3" w:rsidRPr="00AF3B84" w:rsidRDefault="009B3CE3" w:rsidP="009B3CE3">
            <w:pPr>
              <w:rPr>
                <w:rFonts w:ascii="Arial" w:hAnsi="Arial"/>
                <w:sz w:val="18"/>
              </w:rPr>
            </w:pPr>
            <w:r w:rsidRPr="00AF3B84">
              <w:rPr>
                <w:rFonts w:ascii="Arial" w:hAnsi="Arial"/>
                <w:b/>
                <w:sz w:val="18"/>
              </w:rPr>
              <w:t>Specific Populations:</w:t>
            </w:r>
            <w:r>
              <w:rPr>
                <w:rFonts w:ascii="Arial" w:hAnsi="Arial"/>
                <w:sz w:val="18"/>
              </w:rPr>
              <w:t xml:space="preserve"> </w:t>
            </w:r>
            <w:r w:rsidRPr="00AF3B84">
              <w:rPr>
                <w:rFonts w:ascii="Arial" w:hAnsi="Arial"/>
                <w:sz w:val="18"/>
              </w:rPr>
              <w:t>Ramelteon should not be used by patients with severe hepatic impairment.</w:t>
            </w:r>
          </w:p>
          <w:p w:rsidR="009B3CE3" w:rsidRDefault="009B3CE3" w:rsidP="00AD441D">
            <w:pPr>
              <w:rPr>
                <w:b/>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w:t>
            </w:r>
            <w:proofErr w:type="gramStart"/>
            <w:r>
              <w:rPr>
                <w:rFonts w:ascii="Arial" w:hAnsi="Arial"/>
                <w:sz w:val="18"/>
              </w:rPr>
              <w:t>another consent</w:t>
            </w:r>
            <w:proofErr w:type="gramEnd"/>
            <w:r>
              <w:rPr>
                <w:rFonts w:ascii="Arial" w:hAnsi="Arial"/>
                <w:sz w:val="18"/>
              </w:rPr>
              <w: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73" w:rsidRDefault="005E3E73" w:rsidP="007A6FC3">
      <w:r>
        <w:separator/>
      </w:r>
    </w:p>
  </w:endnote>
  <w:endnote w:type="continuationSeparator" w:id="0">
    <w:p w:rsidR="005E3E73" w:rsidRDefault="005E3E73"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FCE">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73" w:rsidRDefault="005E3E73" w:rsidP="007A6FC3">
      <w:r>
        <w:separator/>
      </w:r>
    </w:p>
  </w:footnote>
  <w:footnote w:type="continuationSeparator" w:id="0">
    <w:p w:rsidR="005E3E73" w:rsidRDefault="005E3E73"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EspuicitZ4HCwLo9oO3gq1pl8I=" w:salt="1G0UH6c4x6UThcHhtU14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31FEC"/>
    <w:rsid w:val="00057F83"/>
    <w:rsid w:val="00065117"/>
    <w:rsid w:val="000755E2"/>
    <w:rsid w:val="00082C72"/>
    <w:rsid w:val="00097390"/>
    <w:rsid w:val="000E25AD"/>
    <w:rsid w:val="00101422"/>
    <w:rsid w:val="0018307F"/>
    <w:rsid w:val="001C29BC"/>
    <w:rsid w:val="0021563E"/>
    <w:rsid w:val="00295B89"/>
    <w:rsid w:val="00311731"/>
    <w:rsid w:val="0031599E"/>
    <w:rsid w:val="003379BD"/>
    <w:rsid w:val="003A15FD"/>
    <w:rsid w:val="003B2EF9"/>
    <w:rsid w:val="003B70D9"/>
    <w:rsid w:val="003D356D"/>
    <w:rsid w:val="003E29B2"/>
    <w:rsid w:val="004553BF"/>
    <w:rsid w:val="00464819"/>
    <w:rsid w:val="0047002C"/>
    <w:rsid w:val="004B0216"/>
    <w:rsid w:val="004D379B"/>
    <w:rsid w:val="005325D4"/>
    <w:rsid w:val="005508EB"/>
    <w:rsid w:val="0056414C"/>
    <w:rsid w:val="005A70E2"/>
    <w:rsid w:val="005C03B7"/>
    <w:rsid w:val="005E3E73"/>
    <w:rsid w:val="00606B81"/>
    <w:rsid w:val="00621771"/>
    <w:rsid w:val="0064565E"/>
    <w:rsid w:val="00653309"/>
    <w:rsid w:val="00683097"/>
    <w:rsid w:val="006B7A42"/>
    <w:rsid w:val="00775C94"/>
    <w:rsid w:val="007A6FC3"/>
    <w:rsid w:val="007B70D7"/>
    <w:rsid w:val="007E3FCE"/>
    <w:rsid w:val="007F44C1"/>
    <w:rsid w:val="008D1C36"/>
    <w:rsid w:val="00916D82"/>
    <w:rsid w:val="00927055"/>
    <w:rsid w:val="00934FD5"/>
    <w:rsid w:val="009B3CE3"/>
    <w:rsid w:val="009B59D3"/>
    <w:rsid w:val="00A22DDB"/>
    <w:rsid w:val="00A60207"/>
    <w:rsid w:val="00AA7ED4"/>
    <w:rsid w:val="00AB1650"/>
    <w:rsid w:val="00AD441D"/>
    <w:rsid w:val="00B1786E"/>
    <w:rsid w:val="00B24943"/>
    <w:rsid w:val="00B47C64"/>
    <w:rsid w:val="00B64324"/>
    <w:rsid w:val="00B82162"/>
    <w:rsid w:val="00B83999"/>
    <w:rsid w:val="00CA71B6"/>
    <w:rsid w:val="00CA7C90"/>
    <w:rsid w:val="00CC7A80"/>
    <w:rsid w:val="00CF16BF"/>
    <w:rsid w:val="00D77F6A"/>
    <w:rsid w:val="00DF0FF9"/>
    <w:rsid w:val="00E02750"/>
    <w:rsid w:val="00E11475"/>
    <w:rsid w:val="00E7205C"/>
    <w:rsid w:val="00E92D7A"/>
    <w:rsid w:val="00EA1297"/>
    <w:rsid w:val="00EE5A08"/>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Informed Consent for Medication, Rozerem</vt:lpstr>
    </vt:vector>
  </TitlesOfParts>
  <Manager>Client Rights</Manager>
  <Company>All DHS</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Rozerem</dc:title>
  <dc:creator>WI DHS</dc:creator>
  <cp:keywords>f24277, dde4277, dctf4277, informed consent, medication</cp:keywords>
  <cp:lastModifiedBy>Pritchard, James B</cp:lastModifiedBy>
  <cp:revision>2</cp:revision>
  <cp:lastPrinted>2008-02-05T17:04:00Z</cp:lastPrinted>
  <dcterms:created xsi:type="dcterms:W3CDTF">2019-08-16T13:39:00Z</dcterms:created>
  <dcterms:modified xsi:type="dcterms:W3CDTF">2019-08-16T13:39:00Z</dcterms:modified>
</cp:coreProperties>
</file>