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B188734" w14:textId="77777777">
        <w:tc>
          <w:tcPr>
            <w:tcW w:w="5868" w:type="dxa"/>
            <w:tcBorders>
              <w:top w:val="nil"/>
              <w:left w:val="nil"/>
              <w:bottom w:val="nil"/>
              <w:right w:val="nil"/>
            </w:tcBorders>
          </w:tcPr>
          <w:p w14:paraId="0A25AF90" w14:textId="77777777" w:rsidR="003379BD" w:rsidRPr="004553BF" w:rsidRDefault="003379BD">
            <w:pPr>
              <w:pStyle w:val="Heading1"/>
            </w:pPr>
            <w:r w:rsidRPr="004553BF">
              <w:t>DEPARTMENT OF HEALTH SERVICES</w:t>
            </w:r>
          </w:p>
          <w:p w14:paraId="62CCD5B1"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72ED1D9" w14:textId="3336B7EE"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730393">
              <w:rPr>
                <w:rFonts w:ascii="Arial" w:hAnsi="Arial"/>
                <w:sz w:val="18"/>
              </w:rPr>
              <w:t>5</w:t>
            </w:r>
            <w:r w:rsidR="00017A46">
              <w:rPr>
                <w:rFonts w:ascii="Arial" w:hAnsi="Arial"/>
                <w:sz w:val="18"/>
              </w:rPr>
              <w:t>/20</w:t>
            </w:r>
            <w:r w:rsidR="0073039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A3556EA"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B5403C2" w14:textId="77777777" w:rsidR="003379BD" w:rsidRPr="004553BF" w:rsidRDefault="003379BD">
            <w:pPr>
              <w:jc w:val="right"/>
              <w:rPr>
                <w:rFonts w:ascii="Arial" w:hAnsi="Arial"/>
                <w:sz w:val="18"/>
              </w:rPr>
            </w:pPr>
            <w:r w:rsidRPr="004553BF">
              <w:rPr>
                <w:rFonts w:ascii="Arial" w:hAnsi="Arial"/>
                <w:sz w:val="18"/>
              </w:rPr>
              <w:t>42 CFR483.420(a)(2)</w:t>
            </w:r>
          </w:p>
          <w:p w14:paraId="2120FE8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9D1146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5077B7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707C335" w14:textId="77777777" w:rsidR="0056414C" w:rsidRPr="00BA5A54" w:rsidRDefault="0056414C">
      <w:pPr>
        <w:pStyle w:val="Heading3"/>
        <w:rPr>
          <w:sz w:val="4"/>
          <w:szCs w:val="4"/>
        </w:rPr>
        <w:sectPr w:rsidR="0056414C" w:rsidRPr="00BA5A54"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0B07E44" w14:textId="77777777">
        <w:trPr>
          <w:cantSplit/>
        </w:trPr>
        <w:tc>
          <w:tcPr>
            <w:tcW w:w="11448" w:type="dxa"/>
            <w:gridSpan w:val="10"/>
            <w:tcBorders>
              <w:top w:val="nil"/>
              <w:left w:val="nil"/>
              <w:bottom w:val="single" w:sz="4" w:space="0" w:color="auto"/>
              <w:right w:val="nil"/>
            </w:tcBorders>
          </w:tcPr>
          <w:p w14:paraId="7FD8C90D" w14:textId="77777777" w:rsidR="003379BD" w:rsidRDefault="003379BD" w:rsidP="0031599E">
            <w:pPr>
              <w:pStyle w:val="Heading3"/>
            </w:pPr>
            <w:r>
              <w:t>INFORMED CONSENT FOR MEDICATION</w:t>
            </w:r>
          </w:p>
          <w:p w14:paraId="3AA60137" w14:textId="77777777" w:rsidR="00464819" w:rsidRDefault="00464819" w:rsidP="00464819">
            <w:pPr>
              <w:pStyle w:val="Heading4"/>
            </w:pPr>
            <w:r>
              <w:t xml:space="preserve">Dosage and / or Side Effect information last revised on </w:t>
            </w:r>
            <w:r w:rsidR="00BA5A54">
              <w:rPr>
                <w:noProof/>
              </w:rPr>
              <w:t>08/25/2020</w:t>
            </w:r>
          </w:p>
          <w:p w14:paraId="0D8980D0" w14:textId="391A249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30393">
              <w:rPr>
                <w:rFonts w:ascii="Arial" w:hAnsi="Arial"/>
                <w:sz w:val="18"/>
              </w:rPr>
              <w:t>informed consent is not given</w:t>
            </w:r>
            <w:r>
              <w:rPr>
                <w:rFonts w:ascii="Arial" w:hAnsi="Arial"/>
                <w:sz w:val="18"/>
              </w:rPr>
              <w:t>, the medication cannot be administered without a court order unless in an emergency.</w:t>
            </w:r>
          </w:p>
          <w:p w14:paraId="6F1F5944"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995C423" w14:textId="77777777">
        <w:trPr>
          <w:trHeight w:hRule="exact" w:val="480"/>
        </w:trPr>
        <w:tc>
          <w:tcPr>
            <w:tcW w:w="5868" w:type="dxa"/>
            <w:gridSpan w:val="5"/>
            <w:tcBorders>
              <w:top w:val="single" w:sz="4" w:space="0" w:color="auto"/>
              <w:left w:val="nil"/>
              <w:bottom w:val="single" w:sz="4" w:space="0" w:color="auto"/>
            </w:tcBorders>
          </w:tcPr>
          <w:p w14:paraId="2DE8B438" w14:textId="77777777" w:rsidR="003379BD" w:rsidRDefault="003379BD">
            <w:pPr>
              <w:rPr>
                <w:rFonts w:ascii="Arial" w:hAnsi="Arial"/>
                <w:sz w:val="18"/>
              </w:rPr>
            </w:pPr>
            <w:r>
              <w:rPr>
                <w:rFonts w:ascii="Arial" w:hAnsi="Arial"/>
                <w:sz w:val="18"/>
              </w:rPr>
              <w:t>Name – Patient / Client (Last, First MI)</w:t>
            </w:r>
          </w:p>
          <w:p w14:paraId="5356A70D"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E538E57" w14:textId="77777777" w:rsidR="003379BD" w:rsidRDefault="003379BD">
            <w:pPr>
              <w:rPr>
                <w:rFonts w:ascii="Arial" w:hAnsi="Arial"/>
                <w:sz w:val="18"/>
              </w:rPr>
            </w:pPr>
            <w:r>
              <w:rPr>
                <w:rFonts w:ascii="Arial" w:hAnsi="Arial"/>
                <w:sz w:val="18"/>
              </w:rPr>
              <w:t>ID Number</w:t>
            </w:r>
          </w:p>
          <w:p w14:paraId="268879AC"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1"/>
          </w:p>
        </w:tc>
        <w:tc>
          <w:tcPr>
            <w:tcW w:w="2250" w:type="dxa"/>
            <w:tcBorders>
              <w:top w:val="single" w:sz="4" w:space="0" w:color="auto"/>
              <w:bottom w:val="nil"/>
              <w:right w:val="nil"/>
            </w:tcBorders>
          </w:tcPr>
          <w:p w14:paraId="5CB07BB2" w14:textId="77777777" w:rsidR="003379BD" w:rsidRDefault="003379BD">
            <w:pPr>
              <w:rPr>
                <w:rFonts w:ascii="Arial" w:hAnsi="Arial"/>
                <w:sz w:val="18"/>
              </w:rPr>
            </w:pPr>
            <w:r>
              <w:rPr>
                <w:rFonts w:ascii="Arial" w:hAnsi="Arial"/>
                <w:sz w:val="18"/>
              </w:rPr>
              <w:t>Living Unit</w:t>
            </w:r>
          </w:p>
          <w:p w14:paraId="79864F0D"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2"/>
          </w:p>
        </w:tc>
        <w:tc>
          <w:tcPr>
            <w:tcW w:w="1440" w:type="dxa"/>
            <w:tcBorders>
              <w:top w:val="single" w:sz="4" w:space="0" w:color="auto"/>
              <w:bottom w:val="nil"/>
              <w:right w:val="nil"/>
            </w:tcBorders>
          </w:tcPr>
          <w:p w14:paraId="30939B70" w14:textId="77777777" w:rsidR="003379BD" w:rsidRDefault="006B7A42">
            <w:pPr>
              <w:rPr>
                <w:rFonts w:ascii="Arial" w:hAnsi="Arial"/>
                <w:sz w:val="18"/>
              </w:rPr>
            </w:pPr>
            <w:r>
              <w:rPr>
                <w:rFonts w:ascii="Arial" w:hAnsi="Arial"/>
                <w:sz w:val="18"/>
              </w:rPr>
              <w:t>Date of Birth</w:t>
            </w:r>
          </w:p>
          <w:p w14:paraId="29BED8F4"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3"/>
          </w:p>
        </w:tc>
      </w:tr>
      <w:tr w:rsidR="003379BD" w14:paraId="4AE26CBD" w14:textId="77777777">
        <w:trPr>
          <w:cantSplit/>
        </w:trPr>
        <w:tc>
          <w:tcPr>
            <w:tcW w:w="4338" w:type="dxa"/>
            <w:gridSpan w:val="3"/>
            <w:tcBorders>
              <w:top w:val="single" w:sz="4" w:space="0" w:color="auto"/>
              <w:left w:val="nil"/>
              <w:bottom w:val="single" w:sz="4" w:space="0" w:color="auto"/>
            </w:tcBorders>
          </w:tcPr>
          <w:p w14:paraId="21922EBC" w14:textId="77777777" w:rsidR="003379BD" w:rsidRDefault="003379BD">
            <w:pPr>
              <w:rPr>
                <w:rFonts w:ascii="Arial" w:hAnsi="Arial"/>
                <w:sz w:val="18"/>
              </w:rPr>
            </w:pPr>
            <w:r>
              <w:rPr>
                <w:rFonts w:ascii="Arial" w:hAnsi="Arial"/>
                <w:sz w:val="18"/>
              </w:rPr>
              <w:t>Name – Individual Preparing This Form</w:t>
            </w:r>
          </w:p>
          <w:p w14:paraId="0017A8B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6B0DDE2" w14:textId="77777777" w:rsidR="003379BD" w:rsidRDefault="003379BD">
            <w:pPr>
              <w:rPr>
                <w:rFonts w:ascii="Arial" w:hAnsi="Arial"/>
                <w:sz w:val="18"/>
              </w:rPr>
            </w:pPr>
            <w:r>
              <w:rPr>
                <w:rFonts w:ascii="Arial" w:hAnsi="Arial"/>
                <w:sz w:val="18"/>
              </w:rPr>
              <w:t>Name – Staff Contact</w:t>
            </w:r>
          </w:p>
          <w:p w14:paraId="6A3CF9A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0432968" w14:textId="77777777" w:rsidR="003379BD" w:rsidRDefault="003379BD">
            <w:pPr>
              <w:rPr>
                <w:rFonts w:ascii="Arial" w:hAnsi="Arial"/>
                <w:sz w:val="18"/>
              </w:rPr>
            </w:pPr>
            <w:r>
              <w:rPr>
                <w:rFonts w:ascii="Arial" w:hAnsi="Arial"/>
                <w:sz w:val="18"/>
              </w:rPr>
              <w:t>Name / Telephone Number – Institution</w:t>
            </w:r>
          </w:p>
          <w:p w14:paraId="6B98402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bookmarkEnd w:id="6"/>
          </w:p>
        </w:tc>
      </w:tr>
      <w:tr w:rsidR="003379BD" w14:paraId="32BB0A59" w14:textId="77777777" w:rsidTr="00DF0FF9">
        <w:trPr>
          <w:cantSplit/>
        </w:trPr>
        <w:tc>
          <w:tcPr>
            <w:tcW w:w="3168" w:type="dxa"/>
            <w:tcBorders>
              <w:top w:val="single" w:sz="4" w:space="0" w:color="auto"/>
              <w:left w:val="nil"/>
              <w:bottom w:val="nil"/>
            </w:tcBorders>
            <w:vAlign w:val="center"/>
          </w:tcPr>
          <w:p w14:paraId="6B7274A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0F1733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9DE1BA9" w14:textId="77777777" w:rsidR="003379BD" w:rsidRDefault="003379BD" w:rsidP="00DF0FF9">
            <w:pPr>
              <w:pStyle w:val="Heading4"/>
              <w:spacing w:before="0"/>
            </w:pPr>
            <w:r>
              <w:t>RECOMMENDED</w:t>
            </w:r>
          </w:p>
          <w:p w14:paraId="08D806F4"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28F68F9" w14:textId="77777777" w:rsidR="003379BD" w:rsidRDefault="003379BD" w:rsidP="00DF0FF9">
            <w:pPr>
              <w:pStyle w:val="Heading4"/>
              <w:spacing w:before="0"/>
              <w:rPr>
                <w:b w:val="0"/>
              </w:rPr>
            </w:pPr>
            <w:r>
              <w:t>ANTICIPATED</w:t>
            </w:r>
            <w:r w:rsidR="00DF0FF9">
              <w:t xml:space="preserve"> </w:t>
            </w:r>
            <w:r>
              <w:t>DOSAGE RANGE</w:t>
            </w:r>
          </w:p>
        </w:tc>
      </w:tr>
      <w:tr w:rsidR="000F2710" w14:paraId="623FFA54" w14:textId="77777777" w:rsidTr="00BA5A54">
        <w:trPr>
          <w:cantSplit/>
        </w:trPr>
        <w:tc>
          <w:tcPr>
            <w:tcW w:w="3168" w:type="dxa"/>
            <w:tcBorders>
              <w:top w:val="single" w:sz="4" w:space="0" w:color="auto"/>
              <w:left w:val="nil"/>
              <w:bottom w:val="single" w:sz="4" w:space="0" w:color="auto"/>
            </w:tcBorders>
            <w:vAlign w:val="center"/>
          </w:tcPr>
          <w:p w14:paraId="4C88D5C4" w14:textId="77777777" w:rsidR="000F2710" w:rsidRDefault="000F2710" w:rsidP="00BA5A54">
            <w:pPr>
              <w:spacing w:before="60"/>
              <w:rPr>
                <w:sz w:val="22"/>
              </w:rPr>
            </w:pPr>
            <w:r w:rsidRPr="00F125E2">
              <w:rPr>
                <w:noProof/>
                <w:sz w:val="22"/>
              </w:rPr>
              <w:t xml:space="preserve">Antidepressant </w:t>
            </w:r>
          </w:p>
        </w:tc>
        <w:tc>
          <w:tcPr>
            <w:tcW w:w="3420" w:type="dxa"/>
            <w:gridSpan w:val="5"/>
            <w:tcBorders>
              <w:top w:val="single" w:sz="4" w:space="0" w:color="auto"/>
              <w:bottom w:val="single" w:sz="4" w:space="0" w:color="auto"/>
              <w:right w:val="nil"/>
            </w:tcBorders>
            <w:vAlign w:val="center"/>
          </w:tcPr>
          <w:p w14:paraId="387DAD73" w14:textId="77777777" w:rsidR="000F2710" w:rsidRDefault="000F2710" w:rsidP="00BA5A54">
            <w:pPr>
              <w:tabs>
                <w:tab w:val="left" w:pos="702"/>
                <w:tab w:val="left" w:pos="882"/>
                <w:tab w:val="left" w:pos="1152"/>
                <w:tab w:val="left" w:pos="1602"/>
              </w:tabs>
              <w:rPr>
                <w:sz w:val="22"/>
              </w:rPr>
            </w:pPr>
            <w:r w:rsidRPr="00F125E2">
              <w:rPr>
                <w:noProof/>
                <w:sz w:val="22"/>
              </w:rPr>
              <w:t xml:space="preserve">Serzone </w:t>
            </w:r>
            <w:r>
              <w:rPr>
                <w:sz w:val="22"/>
              </w:rPr>
              <w:t>(</w:t>
            </w:r>
            <w:r w:rsidRPr="00F125E2">
              <w:rPr>
                <w:noProof/>
                <w:sz w:val="22"/>
              </w:rPr>
              <w:t xml:space="preserve">nefazodone </w:t>
            </w:r>
            <w:r>
              <w:rPr>
                <w:sz w:val="22"/>
              </w:rPr>
              <w:t>)</w:t>
            </w:r>
          </w:p>
        </w:tc>
        <w:tc>
          <w:tcPr>
            <w:tcW w:w="3420" w:type="dxa"/>
            <w:gridSpan w:val="3"/>
            <w:tcBorders>
              <w:top w:val="single" w:sz="4" w:space="0" w:color="auto"/>
              <w:bottom w:val="single" w:sz="4" w:space="0" w:color="auto"/>
              <w:right w:val="nil"/>
            </w:tcBorders>
            <w:vAlign w:val="center"/>
          </w:tcPr>
          <w:p w14:paraId="4873E82C" w14:textId="77777777" w:rsidR="000F2710" w:rsidRDefault="006F71E9" w:rsidP="00BA5A54">
            <w:pPr>
              <w:tabs>
                <w:tab w:val="left" w:pos="702"/>
                <w:tab w:val="left" w:pos="882"/>
                <w:tab w:val="left" w:pos="1152"/>
                <w:tab w:val="left" w:pos="1602"/>
              </w:tabs>
              <w:rPr>
                <w:sz w:val="22"/>
              </w:rPr>
            </w:pPr>
            <w:r>
              <w:rPr>
                <w:noProof/>
                <w:sz w:val="22"/>
              </w:rPr>
              <w:t>Initial:</w:t>
            </w:r>
            <w:r w:rsidR="000F2710" w:rsidRPr="00F125E2">
              <w:rPr>
                <w:noProof/>
                <w:sz w:val="22"/>
              </w:rPr>
              <w:t xml:space="preserve"> 200</w:t>
            </w:r>
            <w:r>
              <w:rPr>
                <w:noProof/>
                <w:sz w:val="22"/>
              </w:rPr>
              <w:t xml:space="preserve"> </w:t>
            </w:r>
            <w:r w:rsidR="000F2710" w:rsidRPr="00F125E2">
              <w:rPr>
                <w:noProof/>
                <w:sz w:val="22"/>
              </w:rPr>
              <w:t>mg</w:t>
            </w:r>
            <w:r>
              <w:rPr>
                <w:noProof/>
                <w:sz w:val="22"/>
              </w:rPr>
              <w:t xml:space="preserve"> daily</w:t>
            </w:r>
            <w:r w:rsidR="000F2710" w:rsidRPr="00F125E2">
              <w:rPr>
                <w:noProof/>
                <w:sz w:val="22"/>
              </w:rPr>
              <w:br/>
              <w:t>Elderly</w:t>
            </w:r>
            <w:r>
              <w:rPr>
                <w:noProof/>
                <w:sz w:val="22"/>
              </w:rPr>
              <w:t xml:space="preserve"> initial:</w:t>
            </w:r>
            <w:r w:rsidR="000F2710" w:rsidRPr="00F125E2">
              <w:rPr>
                <w:noProof/>
                <w:sz w:val="22"/>
              </w:rPr>
              <w:t xml:space="preserve"> 100</w:t>
            </w:r>
            <w:r>
              <w:rPr>
                <w:noProof/>
                <w:sz w:val="22"/>
              </w:rPr>
              <w:t xml:space="preserve"> </w:t>
            </w:r>
            <w:r w:rsidR="000F2710" w:rsidRPr="00F125E2">
              <w:rPr>
                <w:noProof/>
                <w:sz w:val="22"/>
              </w:rPr>
              <w:t>mg</w:t>
            </w:r>
            <w:r>
              <w:rPr>
                <w:noProof/>
                <w:sz w:val="22"/>
              </w:rPr>
              <w:t xml:space="preserve"> daily</w:t>
            </w:r>
            <w:r w:rsidR="000F2710" w:rsidRPr="00F125E2">
              <w:rPr>
                <w:noProof/>
                <w:sz w:val="22"/>
              </w:rPr>
              <w:br/>
              <w:t>Effective Range</w:t>
            </w:r>
            <w:r>
              <w:rPr>
                <w:noProof/>
                <w:sz w:val="22"/>
              </w:rPr>
              <w:t>:</w:t>
            </w:r>
            <w:r w:rsidR="000F2710" w:rsidRPr="00F125E2">
              <w:rPr>
                <w:noProof/>
                <w:sz w:val="22"/>
              </w:rPr>
              <w:t xml:space="preserve"> 300</w:t>
            </w:r>
            <w:r w:rsidR="00403793">
              <w:rPr>
                <w:noProof/>
                <w:sz w:val="22"/>
              </w:rPr>
              <w:t xml:space="preserve"> </w:t>
            </w:r>
            <w:r w:rsidR="000F2710" w:rsidRPr="00F125E2">
              <w:rPr>
                <w:noProof/>
                <w:sz w:val="22"/>
              </w:rPr>
              <w:t>mg – 600</w:t>
            </w:r>
            <w:r w:rsidR="00403793">
              <w:rPr>
                <w:noProof/>
                <w:sz w:val="22"/>
              </w:rPr>
              <w:t xml:space="preserve"> </w:t>
            </w:r>
            <w:r w:rsidR="000F2710" w:rsidRPr="00F125E2">
              <w:rPr>
                <w:noProof/>
                <w:sz w:val="22"/>
              </w:rPr>
              <w:t>mg</w:t>
            </w:r>
          </w:p>
        </w:tc>
        <w:tc>
          <w:tcPr>
            <w:tcW w:w="1440" w:type="dxa"/>
            <w:tcBorders>
              <w:top w:val="single" w:sz="4" w:space="0" w:color="auto"/>
              <w:bottom w:val="single" w:sz="4" w:space="0" w:color="auto"/>
              <w:right w:val="nil"/>
            </w:tcBorders>
            <w:vAlign w:val="center"/>
          </w:tcPr>
          <w:p w14:paraId="219EC032" w14:textId="77777777" w:rsidR="000F2710" w:rsidRDefault="000F2710" w:rsidP="00BA5A54">
            <w:pP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sz w:val="22"/>
              </w:rPr>
              <w:fldChar w:fldCharType="end"/>
            </w:r>
          </w:p>
        </w:tc>
      </w:tr>
      <w:tr w:rsidR="003379BD" w14:paraId="78232864" w14:textId="77777777">
        <w:trPr>
          <w:cantSplit/>
          <w:trHeight w:hRule="exact" w:val="1200"/>
        </w:trPr>
        <w:tc>
          <w:tcPr>
            <w:tcW w:w="11448" w:type="dxa"/>
            <w:gridSpan w:val="10"/>
            <w:tcBorders>
              <w:top w:val="nil"/>
              <w:left w:val="nil"/>
              <w:bottom w:val="single" w:sz="4" w:space="0" w:color="auto"/>
              <w:right w:val="nil"/>
            </w:tcBorders>
          </w:tcPr>
          <w:p w14:paraId="4B73633F"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4B355F5"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EF56B5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F6AA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F6AA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F6AA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sidR="00B1786E">
              <w:rPr>
                <w:sz w:val="22"/>
              </w:rPr>
              <w:fldChar w:fldCharType="end"/>
            </w:r>
            <w:bookmarkEnd w:id="7"/>
          </w:p>
        </w:tc>
      </w:tr>
      <w:tr w:rsidR="003379BD" w14:paraId="3801F354" w14:textId="77777777">
        <w:trPr>
          <w:cantSplit/>
          <w:trHeight w:hRule="exact" w:val="600"/>
        </w:trPr>
        <w:tc>
          <w:tcPr>
            <w:tcW w:w="11448" w:type="dxa"/>
            <w:gridSpan w:val="10"/>
            <w:tcBorders>
              <w:top w:val="single" w:sz="4" w:space="0" w:color="auto"/>
              <w:left w:val="nil"/>
              <w:bottom w:val="nil"/>
              <w:right w:val="nil"/>
            </w:tcBorders>
          </w:tcPr>
          <w:p w14:paraId="77D16AFA" w14:textId="54248E96"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730393">
              <w:rPr>
                <w:b w:val="0"/>
              </w:rPr>
              <w:t>impression (</w:t>
            </w:r>
            <w:r w:rsidRPr="00097390">
              <w:rPr>
                <w:b w:val="0"/>
              </w:rPr>
              <w:t>“working hypothesis</w:t>
            </w:r>
            <w:r w:rsidR="0031599E" w:rsidRPr="00097390">
              <w:rPr>
                <w:b w:val="0"/>
              </w:rPr>
              <w:t>.”</w:t>
            </w:r>
            <w:r w:rsidR="00730393">
              <w:rPr>
                <w:b w:val="0"/>
              </w:rPr>
              <w:t>)</w:t>
            </w:r>
          </w:p>
        </w:tc>
      </w:tr>
      <w:tr w:rsidR="003379BD" w14:paraId="70CFF0C3" w14:textId="77777777" w:rsidTr="00730393">
        <w:trPr>
          <w:cantSplit/>
          <w:trHeight w:val="1008"/>
        </w:trPr>
        <w:tc>
          <w:tcPr>
            <w:tcW w:w="11448" w:type="dxa"/>
            <w:gridSpan w:val="10"/>
            <w:tcBorders>
              <w:top w:val="nil"/>
              <w:left w:val="nil"/>
              <w:bottom w:val="single" w:sz="4" w:space="0" w:color="auto"/>
              <w:right w:val="nil"/>
            </w:tcBorders>
          </w:tcPr>
          <w:p w14:paraId="3DE0B6C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Pr>
                <w:noProof/>
                <w:sz w:val="22"/>
              </w:rPr>
              <w:fldChar w:fldCharType="end"/>
            </w:r>
            <w:bookmarkEnd w:id="8"/>
          </w:p>
        </w:tc>
      </w:tr>
      <w:tr w:rsidR="003379BD" w14:paraId="646E66D4" w14:textId="77777777">
        <w:trPr>
          <w:cantSplit/>
          <w:trHeight w:val="240"/>
        </w:trPr>
        <w:tc>
          <w:tcPr>
            <w:tcW w:w="11448" w:type="dxa"/>
            <w:gridSpan w:val="10"/>
            <w:tcBorders>
              <w:top w:val="single" w:sz="4" w:space="0" w:color="auto"/>
              <w:left w:val="nil"/>
              <w:bottom w:val="nil"/>
              <w:right w:val="nil"/>
            </w:tcBorders>
          </w:tcPr>
          <w:p w14:paraId="74546332"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AF298FE" w14:textId="77777777">
        <w:trPr>
          <w:cantSplit/>
          <w:trHeight w:val="240"/>
        </w:trPr>
        <w:tc>
          <w:tcPr>
            <w:tcW w:w="5724" w:type="dxa"/>
            <w:gridSpan w:val="4"/>
            <w:tcBorders>
              <w:top w:val="nil"/>
              <w:left w:val="nil"/>
              <w:bottom w:val="nil"/>
              <w:right w:val="nil"/>
            </w:tcBorders>
            <w:vAlign w:val="center"/>
          </w:tcPr>
          <w:p w14:paraId="7A6BC1F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2FDBAC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E7B835F" w14:textId="77777777">
        <w:trPr>
          <w:cantSplit/>
          <w:trHeight w:val="240"/>
        </w:trPr>
        <w:tc>
          <w:tcPr>
            <w:tcW w:w="5724" w:type="dxa"/>
            <w:gridSpan w:val="4"/>
            <w:tcBorders>
              <w:top w:val="nil"/>
              <w:left w:val="nil"/>
              <w:bottom w:val="nil"/>
              <w:right w:val="nil"/>
            </w:tcBorders>
            <w:vAlign w:val="center"/>
          </w:tcPr>
          <w:p w14:paraId="37E40D0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42D5C88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9136525" w14:textId="77777777" w:rsidTr="000F2710">
        <w:trPr>
          <w:cantSplit/>
          <w:trHeight w:val="240"/>
        </w:trPr>
        <w:tc>
          <w:tcPr>
            <w:tcW w:w="5724" w:type="dxa"/>
            <w:gridSpan w:val="4"/>
            <w:tcBorders>
              <w:top w:val="nil"/>
              <w:left w:val="nil"/>
              <w:bottom w:val="nil"/>
              <w:right w:val="nil"/>
            </w:tcBorders>
            <w:vAlign w:val="center"/>
          </w:tcPr>
          <w:p w14:paraId="036B853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EE16CA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5791D65" w14:textId="77777777" w:rsidTr="00730393">
        <w:trPr>
          <w:cantSplit/>
          <w:trHeight w:val="1008"/>
        </w:trPr>
        <w:tc>
          <w:tcPr>
            <w:tcW w:w="11448" w:type="dxa"/>
            <w:gridSpan w:val="10"/>
            <w:tcBorders>
              <w:top w:val="nil"/>
              <w:left w:val="nil"/>
              <w:bottom w:val="single" w:sz="4" w:space="0" w:color="auto"/>
              <w:right w:val="nil"/>
            </w:tcBorders>
          </w:tcPr>
          <w:p w14:paraId="381C01AD"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sidR="00B1786E">
              <w:rPr>
                <w:sz w:val="22"/>
              </w:rPr>
              <w:fldChar w:fldCharType="end"/>
            </w:r>
            <w:bookmarkEnd w:id="16"/>
          </w:p>
        </w:tc>
      </w:tr>
      <w:tr w:rsidR="003379BD" w14:paraId="127FC340" w14:textId="77777777" w:rsidTr="000F2710">
        <w:trPr>
          <w:cantSplit/>
          <w:trHeight w:hRule="exact" w:val="240"/>
        </w:trPr>
        <w:tc>
          <w:tcPr>
            <w:tcW w:w="11448" w:type="dxa"/>
            <w:gridSpan w:val="10"/>
            <w:tcBorders>
              <w:top w:val="single" w:sz="4" w:space="0" w:color="auto"/>
              <w:left w:val="nil"/>
              <w:bottom w:val="nil"/>
              <w:right w:val="nil"/>
            </w:tcBorders>
          </w:tcPr>
          <w:p w14:paraId="32697379"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9477776" w14:textId="77777777" w:rsidTr="00934FD5">
        <w:trPr>
          <w:cantSplit/>
          <w:trHeight w:val="288"/>
        </w:trPr>
        <w:tc>
          <w:tcPr>
            <w:tcW w:w="3816" w:type="dxa"/>
            <w:gridSpan w:val="2"/>
            <w:tcBorders>
              <w:top w:val="nil"/>
              <w:left w:val="nil"/>
              <w:bottom w:val="nil"/>
              <w:right w:val="nil"/>
            </w:tcBorders>
            <w:vAlign w:val="center"/>
          </w:tcPr>
          <w:p w14:paraId="4A721D0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F6AA0">
              <w:rPr>
                <w:b w:val="0"/>
              </w:rPr>
            </w:r>
            <w:r w:rsidR="007F6AA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6CF966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F6AA0">
              <w:rPr>
                <w:b w:val="0"/>
              </w:rPr>
            </w:r>
            <w:r w:rsidR="007F6AA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4C94ACD"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F6AA0">
              <w:rPr>
                <w:b w:val="0"/>
              </w:rPr>
            </w:r>
            <w:r w:rsidR="007F6AA0">
              <w:rPr>
                <w:b w:val="0"/>
              </w:rPr>
              <w:fldChar w:fldCharType="separate"/>
            </w:r>
            <w:r>
              <w:rPr>
                <w:b w:val="0"/>
              </w:rPr>
              <w:fldChar w:fldCharType="end"/>
            </w:r>
            <w:bookmarkEnd w:id="19"/>
            <w:r>
              <w:rPr>
                <w:b w:val="0"/>
              </w:rPr>
              <w:t xml:space="preserve"> Social Functioning</w:t>
            </w:r>
          </w:p>
        </w:tc>
      </w:tr>
      <w:tr w:rsidR="003379BD" w14:paraId="5BD9C9A8" w14:textId="77777777">
        <w:trPr>
          <w:cantSplit/>
          <w:trHeight w:val="240"/>
        </w:trPr>
        <w:tc>
          <w:tcPr>
            <w:tcW w:w="3816" w:type="dxa"/>
            <w:gridSpan w:val="2"/>
            <w:tcBorders>
              <w:top w:val="nil"/>
              <w:left w:val="nil"/>
              <w:bottom w:val="nil"/>
              <w:right w:val="nil"/>
            </w:tcBorders>
          </w:tcPr>
          <w:p w14:paraId="35BEAD4E"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F0B4F1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FE629AE" w14:textId="77777777" w:rsidR="003379BD" w:rsidRDefault="003379BD">
            <w:pPr>
              <w:pStyle w:val="Heading4"/>
              <w:tabs>
                <w:tab w:val="left" w:pos="540"/>
              </w:tabs>
              <w:jc w:val="left"/>
              <w:rPr>
                <w:b w:val="0"/>
              </w:rPr>
            </w:pPr>
          </w:p>
        </w:tc>
      </w:tr>
      <w:tr w:rsidR="003379BD" w14:paraId="18DC6726" w14:textId="77777777">
        <w:trPr>
          <w:cantSplit/>
          <w:trHeight w:val="192"/>
        </w:trPr>
        <w:tc>
          <w:tcPr>
            <w:tcW w:w="5724" w:type="dxa"/>
            <w:gridSpan w:val="4"/>
            <w:tcBorders>
              <w:top w:val="nil"/>
              <w:left w:val="nil"/>
              <w:bottom w:val="nil"/>
              <w:right w:val="nil"/>
            </w:tcBorders>
          </w:tcPr>
          <w:p w14:paraId="4D1A1CE1"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DD2BE53" w14:textId="77777777" w:rsidR="003379BD" w:rsidRDefault="003379BD">
            <w:pPr>
              <w:pStyle w:val="Heading4"/>
              <w:tabs>
                <w:tab w:val="left" w:pos="540"/>
              </w:tabs>
              <w:jc w:val="left"/>
              <w:rPr>
                <w:b w:val="0"/>
              </w:rPr>
            </w:pPr>
          </w:p>
        </w:tc>
      </w:tr>
      <w:bookmarkStart w:id="20" w:name="_Hlk151783589"/>
      <w:tr w:rsidR="003379BD" w14:paraId="42700A37" w14:textId="77777777">
        <w:trPr>
          <w:cantSplit/>
          <w:trHeight w:val="192"/>
        </w:trPr>
        <w:tc>
          <w:tcPr>
            <w:tcW w:w="5724" w:type="dxa"/>
            <w:gridSpan w:val="4"/>
            <w:tcBorders>
              <w:top w:val="nil"/>
              <w:left w:val="nil"/>
              <w:bottom w:val="nil"/>
              <w:right w:val="nil"/>
            </w:tcBorders>
            <w:vAlign w:val="center"/>
          </w:tcPr>
          <w:p w14:paraId="5A6DCCF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F6AA0">
              <w:rPr>
                <w:b w:val="0"/>
              </w:rPr>
            </w:r>
            <w:r w:rsidR="007F6AA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15DB185"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F6AA0">
              <w:rPr>
                <w:b w:val="0"/>
              </w:rPr>
            </w:r>
            <w:r w:rsidR="007F6AA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15727C8" w14:textId="77777777">
        <w:trPr>
          <w:cantSplit/>
          <w:trHeight w:val="192"/>
        </w:trPr>
        <w:tc>
          <w:tcPr>
            <w:tcW w:w="5724" w:type="dxa"/>
            <w:gridSpan w:val="4"/>
            <w:tcBorders>
              <w:top w:val="nil"/>
              <w:left w:val="nil"/>
              <w:bottom w:val="nil"/>
              <w:right w:val="nil"/>
            </w:tcBorders>
            <w:vAlign w:val="center"/>
          </w:tcPr>
          <w:p w14:paraId="5F44C415"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F6AA0">
              <w:rPr>
                <w:b w:val="0"/>
              </w:rPr>
            </w:r>
            <w:r w:rsidR="007F6AA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C234D3E"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F6AA0">
              <w:rPr>
                <w:b w:val="0"/>
              </w:rPr>
            </w:r>
            <w:r w:rsidR="007F6AA0">
              <w:rPr>
                <w:b w:val="0"/>
              </w:rPr>
              <w:fldChar w:fldCharType="separate"/>
            </w:r>
            <w:r>
              <w:rPr>
                <w:b w:val="0"/>
              </w:rPr>
              <w:fldChar w:fldCharType="end"/>
            </w:r>
            <w:bookmarkEnd w:id="24"/>
            <w:r>
              <w:rPr>
                <w:b w:val="0"/>
              </w:rPr>
              <w:t xml:space="preserve"> Intervention of law enforcement authorities</w:t>
            </w:r>
          </w:p>
        </w:tc>
      </w:tr>
      <w:tr w:rsidR="003379BD" w14:paraId="4274D662" w14:textId="77777777">
        <w:trPr>
          <w:cantSplit/>
          <w:trHeight w:val="192"/>
        </w:trPr>
        <w:tc>
          <w:tcPr>
            <w:tcW w:w="5724" w:type="dxa"/>
            <w:gridSpan w:val="4"/>
            <w:tcBorders>
              <w:top w:val="nil"/>
              <w:left w:val="nil"/>
              <w:bottom w:val="nil"/>
              <w:right w:val="nil"/>
            </w:tcBorders>
            <w:vAlign w:val="center"/>
          </w:tcPr>
          <w:p w14:paraId="279DD8A2"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F6AA0">
              <w:rPr>
                <w:b w:val="0"/>
              </w:rPr>
            </w:r>
            <w:r w:rsidR="007F6AA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D8C826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F6AA0">
              <w:rPr>
                <w:b w:val="0"/>
              </w:rPr>
            </w:r>
            <w:r w:rsidR="007F6AA0">
              <w:rPr>
                <w:b w:val="0"/>
              </w:rPr>
              <w:fldChar w:fldCharType="separate"/>
            </w:r>
            <w:r>
              <w:rPr>
                <w:b w:val="0"/>
              </w:rPr>
              <w:fldChar w:fldCharType="end"/>
            </w:r>
            <w:bookmarkEnd w:id="26"/>
            <w:r>
              <w:rPr>
                <w:b w:val="0"/>
              </w:rPr>
              <w:t xml:space="preserve"> Risk of harm to self or others</w:t>
            </w:r>
          </w:p>
        </w:tc>
      </w:tr>
      <w:tr w:rsidR="003379BD" w14:paraId="65D8BB80" w14:textId="77777777">
        <w:trPr>
          <w:cantSplit/>
          <w:trHeight w:val="192"/>
        </w:trPr>
        <w:tc>
          <w:tcPr>
            <w:tcW w:w="5724" w:type="dxa"/>
            <w:gridSpan w:val="4"/>
            <w:tcBorders>
              <w:top w:val="nil"/>
              <w:left w:val="nil"/>
              <w:bottom w:val="nil"/>
              <w:right w:val="nil"/>
            </w:tcBorders>
            <w:vAlign w:val="center"/>
          </w:tcPr>
          <w:p w14:paraId="17514366"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F6AA0">
              <w:rPr>
                <w:b w:val="0"/>
              </w:rPr>
            </w:r>
            <w:r w:rsidR="007F6AA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39352B5" w14:textId="77777777" w:rsidR="003379BD" w:rsidRDefault="003379BD">
            <w:pPr>
              <w:pStyle w:val="Heading4"/>
              <w:tabs>
                <w:tab w:val="left" w:pos="540"/>
              </w:tabs>
              <w:spacing w:before="0"/>
              <w:jc w:val="left"/>
              <w:rPr>
                <w:b w:val="0"/>
              </w:rPr>
            </w:pPr>
          </w:p>
        </w:tc>
      </w:tr>
      <w:bookmarkEnd w:id="20"/>
      <w:tr w:rsidR="003379BD" w14:paraId="3620AB07" w14:textId="77777777" w:rsidTr="00730393">
        <w:trPr>
          <w:cantSplit/>
          <w:trHeight w:val="1008"/>
        </w:trPr>
        <w:tc>
          <w:tcPr>
            <w:tcW w:w="11448" w:type="dxa"/>
            <w:gridSpan w:val="10"/>
            <w:tcBorders>
              <w:top w:val="nil"/>
              <w:left w:val="nil"/>
              <w:bottom w:val="single" w:sz="4" w:space="0" w:color="auto"/>
              <w:right w:val="nil"/>
            </w:tcBorders>
          </w:tcPr>
          <w:p w14:paraId="469DFDD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67C55">
              <w:rPr>
                <w:noProof/>
                <w:sz w:val="22"/>
              </w:rPr>
              <w:t> </w:t>
            </w:r>
            <w:r w:rsidR="00C67C55">
              <w:rPr>
                <w:noProof/>
                <w:sz w:val="22"/>
              </w:rPr>
              <w:t> </w:t>
            </w:r>
            <w:r w:rsidR="00C67C55">
              <w:rPr>
                <w:noProof/>
                <w:sz w:val="22"/>
              </w:rPr>
              <w:t> </w:t>
            </w:r>
            <w:r w:rsidR="00C67C55">
              <w:rPr>
                <w:noProof/>
                <w:sz w:val="22"/>
              </w:rPr>
              <w:t> </w:t>
            </w:r>
            <w:r w:rsidR="00C67C55">
              <w:rPr>
                <w:noProof/>
                <w:sz w:val="22"/>
              </w:rPr>
              <w:t> </w:t>
            </w:r>
            <w:r w:rsidR="00B1786E">
              <w:rPr>
                <w:noProof/>
                <w:sz w:val="22"/>
              </w:rPr>
              <w:fldChar w:fldCharType="end"/>
            </w:r>
            <w:bookmarkEnd w:id="28"/>
          </w:p>
        </w:tc>
      </w:tr>
      <w:tr w:rsidR="003379BD" w14:paraId="302349F1" w14:textId="77777777">
        <w:trPr>
          <w:cantSplit/>
          <w:trHeight w:hRule="exact" w:val="440"/>
        </w:trPr>
        <w:tc>
          <w:tcPr>
            <w:tcW w:w="11448" w:type="dxa"/>
            <w:gridSpan w:val="10"/>
            <w:tcBorders>
              <w:top w:val="single" w:sz="4" w:space="0" w:color="auto"/>
              <w:left w:val="nil"/>
              <w:bottom w:val="single" w:sz="4" w:space="0" w:color="auto"/>
              <w:right w:val="nil"/>
            </w:tcBorders>
          </w:tcPr>
          <w:p w14:paraId="1E4DF7AC"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4D86ED4" w14:textId="77777777" w:rsidR="003379BD" w:rsidRDefault="00464819">
      <w:pPr>
        <w:jc w:val="right"/>
        <w:rPr>
          <w:rFonts w:ascii="Arial" w:hAnsi="Arial"/>
          <w:sz w:val="18"/>
        </w:rPr>
      </w:pPr>
      <w:r>
        <w:rPr>
          <w:rFonts w:ascii="Arial" w:hAnsi="Arial"/>
          <w:sz w:val="18"/>
        </w:rPr>
        <w:t>See Page 2</w:t>
      </w:r>
    </w:p>
    <w:p w14:paraId="0E209169"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0F2710" w14:paraId="6DE5D28C" w14:textId="77777777">
        <w:trPr>
          <w:tblHeader/>
        </w:trPr>
        <w:tc>
          <w:tcPr>
            <w:tcW w:w="4788" w:type="dxa"/>
            <w:tcBorders>
              <w:top w:val="nil"/>
              <w:left w:val="nil"/>
              <w:bottom w:val="nil"/>
              <w:right w:val="nil"/>
            </w:tcBorders>
          </w:tcPr>
          <w:p w14:paraId="12772D2F" w14:textId="77777777" w:rsidR="000F2710" w:rsidRDefault="000F2710">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010D14DB" w14:textId="77777777" w:rsidR="000F2710" w:rsidRDefault="000F2710" w:rsidP="00F437B4">
            <w:pPr>
              <w:rPr>
                <w:rFonts w:ascii="Arial" w:hAnsi="Arial"/>
                <w:sz w:val="18"/>
              </w:rPr>
            </w:pPr>
            <w:r>
              <w:rPr>
                <w:rFonts w:ascii="Arial" w:hAnsi="Arial"/>
                <w:sz w:val="18"/>
              </w:rPr>
              <w:t xml:space="preserve">Medication : </w:t>
            </w:r>
            <w:r w:rsidRPr="00F125E2">
              <w:rPr>
                <w:noProof/>
                <w:sz w:val="22"/>
              </w:rPr>
              <w:t xml:space="preserve">Serzone </w:t>
            </w:r>
            <w:r>
              <w:rPr>
                <w:sz w:val="22"/>
              </w:rPr>
              <w:t xml:space="preserve"> -</w:t>
            </w:r>
            <w:r>
              <w:rPr>
                <w:rFonts w:ascii="Arial" w:hAnsi="Arial"/>
                <w:sz w:val="18"/>
              </w:rPr>
              <w:t xml:space="preserve"> (</w:t>
            </w:r>
            <w:r w:rsidRPr="00F125E2">
              <w:rPr>
                <w:noProof/>
                <w:sz w:val="22"/>
              </w:rPr>
              <w:t xml:space="preserve">nefazodone </w:t>
            </w:r>
            <w:r>
              <w:rPr>
                <w:rFonts w:ascii="Arial" w:hAnsi="Arial"/>
                <w:sz w:val="18"/>
              </w:rPr>
              <w:t xml:space="preserve">) </w:t>
            </w:r>
          </w:p>
        </w:tc>
      </w:tr>
      <w:tr w:rsidR="003379BD" w14:paraId="24509DAC" w14:textId="77777777">
        <w:trPr>
          <w:cantSplit/>
        </w:trPr>
        <w:tc>
          <w:tcPr>
            <w:tcW w:w="11448" w:type="dxa"/>
            <w:gridSpan w:val="2"/>
            <w:tcBorders>
              <w:top w:val="single" w:sz="4" w:space="0" w:color="auto"/>
              <w:left w:val="nil"/>
              <w:bottom w:val="single" w:sz="4" w:space="0" w:color="auto"/>
              <w:right w:val="nil"/>
            </w:tcBorders>
          </w:tcPr>
          <w:p w14:paraId="24CB3F8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AF5B3EF" w14:textId="77777777" w:rsidTr="00683097">
        <w:trPr>
          <w:cantSplit/>
          <w:trHeight w:val="864"/>
        </w:trPr>
        <w:tc>
          <w:tcPr>
            <w:tcW w:w="11448" w:type="dxa"/>
            <w:gridSpan w:val="2"/>
            <w:tcBorders>
              <w:top w:val="single" w:sz="4" w:space="0" w:color="auto"/>
              <w:left w:val="nil"/>
              <w:bottom w:val="nil"/>
              <w:right w:val="nil"/>
            </w:tcBorders>
          </w:tcPr>
          <w:p w14:paraId="43BD867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8DD02F6" w14:textId="77777777" w:rsidR="000F2710" w:rsidRPr="000A49CD" w:rsidRDefault="003379BD" w:rsidP="00814184">
            <w:pPr>
              <w:pStyle w:val="Heading6"/>
              <w:spacing w:before="120"/>
              <w:rPr>
                <w:b w:val="0"/>
                <w:sz w:val="18"/>
                <w:szCs w:val="18"/>
              </w:rPr>
            </w:pPr>
            <w:r w:rsidRPr="0056414C">
              <w:rPr>
                <w:sz w:val="18"/>
                <w:szCs w:val="18"/>
              </w:rPr>
              <w:t>Most Common Side Effects</w:t>
            </w:r>
            <w:r w:rsidR="00814184">
              <w:rPr>
                <w:sz w:val="18"/>
                <w:szCs w:val="18"/>
              </w:rPr>
              <w:t xml:space="preserve">: </w:t>
            </w:r>
            <w:r w:rsidR="000A49CD">
              <w:rPr>
                <w:b w:val="0"/>
                <w:sz w:val="18"/>
                <w:szCs w:val="18"/>
              </w:rPr>
              <w:t>headache; drowsiness; dizziness; insomnia (difficulty falling asleep or staying asleep); agitation; dry mouth; nausea; constipation; muscle weakness.</w:t>
            </w:r>
          </w:p>
          <w:p w14:paraId="31C76EE2" w14:textId="77777777" w:rsidR="000F2710" w:rsidRPr="000F2710" w:rsidRDefault="000F2710" w:rsidP="000F2710"/>
        </w:tc>
      </w:tr>
      <w:tr w:rsidR="003379BD" w14:paraId="6E59F987" w14:textId="77777777" w:rsidTr="00683097">
        <w:trPr>
          <w:cantSplit/>
          <w:trHeight w:val="576"/>
        </w:trPr>
        <w:tc>
          <w:tcPr>
            <w:tcW w:w="11448" w:type="dxa"/>
            <w:gridSpan w:val="2"/>
            <w:tcBorders>
              <w:top w:val="nil"/>
              <w:left w:val="nil"/>
              <w:bottom w:val="nil"/>
              <w:right w:val="nil"/>
            </w:tcBorders>
          </w:tcPr>
          <w:p w14:paraId="4F04BDE0" w14:textId="77777777" w:rsidR="000F2710" w:rsidRPr="00814184" w:rsidRDefault="003379BD" w:rsidP="000F2710">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814184">
              <w:rPr>
                <w:rFonts w:ascii="Arial" w:hAnsi="Arial"/>
                <w:b/>
                <w:snapToGrid w:val="0"/>
                <w:color w:val="000000"/>
                <w:sz w:val="18"/>
              </w:rPr>
              <w:t xml:space="preserve">: </w:t>
            </w:r>
            <w:r w:rsidR="00FE0A3D">
              <w:rPr>
                <w:rFonts w:ascii="Arial" w:hAnsi="Arial"/>
                <w:noProof/>
                <w:sz w:val="18"/>
              </w:rPr>
              <w:t>bladder pain</w:t>
            </w:r>
            <w:r w:rsidR="000F2710" w:rsidRPr="00F125E2">
              <w:rPr>
                <w:rFonts w:ascii="Arial" w:hAnsi="Arial"/>
                <w:noProof/>
                <w:sz w:val="18"/>
              </w:rPr>
              <w:t>; cough or hoarseness; diarrhea; excessive muscle tone</w:t>
            </w:r>
            <w:r w:rsidR="00343813">
              <w:rPr>
                <w:rFonts w:ascii="Arial" w:hAnsi="Arial"/>
                <w:noProof/>
                <w:sz w:val="18"/>
              </w:rPr>
              <w:t xml:space="preserve"> leading to muscle stiffness</w:t>
            </w:r>
            <w:r w:rsidR="00156DC1">
              <w:rPr>
                <w:rFonts w:ascii="Arial" w:hAnsi="Arial"/>
                <w:noProof/>
                <w:sz w:val="18"/>
              </w:rPr>
              <w:t>; eye pain</w:t>
            </w:r>
            <w:r w:rsidR="000F2710" w:rsidRPr="00F125E2">
              <w:rPr>
                <w:rFonts w:ascii="Arial" w:hAnsi="Arial"/>
                <w:noProof/>
                <w:sz w:val="18"/>
              </w:rPr>
              <w:t xml:space="preserve">; frequent urge to urinate; </w:t>
            </w:r>
            <w:r w:rsidR="00156DC1">
              <w:rPr>
                <w:rFonts w:ascii="Arial" w:hAnsi="Arial"/>
                <w:noProof/>
                <w:sz w:val="18"/>
              </w:rPr>
              <w:t xml:space="preserve">generalized </w:t>
            </w:r>
            <w:r w:rsidR="000F2710" w:rsidRPr="00F125E2">
              <w:rPr>
                <w:rFonts w:ascii="Arial" w:hAnsi="Arial"/>
                <w:noProof/>
                <w:sz w:val="18"/>
              </w:rPr>
              <w:t>itching; musc</w:t>
            </w:r>
            <w:r w:rsidR="00767B79">
              <w:rPr>
                <w:rFonts w:ascii="Arial" w:hAnsi="Arial"/>
                <w:noProof/>
                <w:sz w:val="18"/>
              </w:rPr>
              <w:t>le tension or tightness;</w:t>
            </w:r>
            <w:r w:rsidR="000F2710" w:rsidRPr="00F125E2">
              <w:rPr>
                <w:rFonts w:ascii="Arial" w:hAnsi="Arial"/>
                <w:noProof/>
                <w:sz w:val="18"/>
              </w:rPr>
              <w:t xml:space="preserve"> pain during sexual intercourse; painful, burning, or difficult urination; shortness of breath, tightness in chest, or wheezing; stomach pain; thick, white vaginal discharge with no odor or with a </w:t>
            </w:r>
            <w:r w:rsidR="00767B79">
              <w:rPr>
                <w:rFonts w:ascii="Arial" w:hAnsi="Arial"/>
                <w:noProof/>
                <w:sz w:val="18"/>
              </w:rPr>
              <w:t>mild odor</w:t>
            </w:r>
            <w:r w:rsidR="000F2710" w:rsidRPr="00F125E2">
              <w:rPr>
                <w:rFonts w:ascii="Arial" w:hAnsi="Arial"/>
                <w:noProof/>
                <w:sz w:val="18"/>
              </w:rPr>
              <w:t>; breast pain; generalized slowing of mental and physical activity; increased thirst; loss of strength or energy; muscle weakness</w:t>
            </w:r>
            <w:r w:rsidR="000A49CD">
              <w:rPr>
                <w:rFonts w:ascii="Arial" w:hAnsi="Arial"/>
                <w:noProof/>
                <w:sz w:val="18"/>
              </w:rPr>
              <w:t>;</w:t>
            </w:r>
            <w:r w:rsidR="000A49CD">
              <w:t xml:space="preserve"> </w:t>
            </w:r>
            <w:r w:rsidR="000A49CD" w:rsidRPr="000A49CD">
              <w:rPr>
                <w:rFonts w:ascii="Arial" w:hAnsi="Arial"/>
                <w:noProof/>
                <w:sz w:val="18"/>
              </w:rPr>
              <w:t>blurred vision or other changes in vision; clumsiness or unsteadiness; lightheadedness or fainting; ringing in the ears; skin rash</w:t>
            </w:r>
            <w:r w:rsidR="00D100BE">
              <w:rPr>
                <w:rFonts w:ascii="Arial" w:hAnsi="Arial"/>
                <w:noProof/>
                <w:sz w:val="18"/>
              </w:rPr>
              <w:t xml:space="preserve"> or itching; abnormal dreams; confusion; diarrhea; </w:t>
            </w:r>
            <w:r w:rsidR="000A49CD" w:rsidRPr="000A49CD">
              <w:rPr>
                <w:rFonts w:ascii="Arial" w:hAnsi="Arial"/>
                <w:noProof/>
                <w:sz w:val="18"/>
              </w:rPr>
              <w:t>flushin</w:t>
            </w:r>
            <w:r w:rsidR="00D100BE">
              <w:rPr>
                <w:rFonts w:ascii="Arial" w:hAnsi="Arial"/>
                <w:noProof/>
                <w:sz w:val="18"/>
              </w:rPr>
              <w:t>g or feeling of warmth</w:t>
            </w:r>
            <w:r w:rsidR="000A49CD" w:rsidRPr="000A49CD">
              <w:rPr>
                <w:rFonts w:ascii="Arial" w:hAnsi="Arial"/>
                <w:noProof/>
                <w:sz w:val="18"/>
              </w:rPr>
              <w:t>; heartburn; increased appetite; increased cough; memory problems; nausea; swelling of arms or legs; tingling, burning, or prickly sensation</w:t>
            </w:r>
            <w:r w:rsidR="00D36BB6">
              <w:rPr>
                <w:rFonts w:ascii="Arial" w:hAnsi="Arial"/>
                <w:noProof/>
                <w:sz w:val="18"/>
              </w:rPr>
              <w:t xml:space="preserve">s; tremor; </w:t>
            </w:r>
            <w:r w:rsidR="000A49CD" w:rsidRPr="000A49CD">
              <w:rPr>
                <w:rFonts w:ascii="Arial" w:hAnsi="Arial"/>
                <w:noProof/>
                <w:sz w:val="18"/>
              </w:rPr>
              <w:t>vomiting.</w:t>
            </w:r>
            <w:r w:rsidR="000A49CD">
              <w:rPr>
                <w:rFonts w:ascii="Arial" w:hAnsi="Arial"/>
                <w:noProof/>
                <w:sz w:val="18"/>
              </w:rPr>
              <w:t xml:space="preserve"> </w:t>
            </w:r>
          </w:p>
          <w:p w14:paraId="03F5235B" w14:textId="77777777" w:rsidR="000F2710" w:rsidRDefault="000F2710" w:rsidP="00AD441D">
            <w:pPr>
              <w:rPr>
                <w:b/>
              </w:rPr>
            </w:pPr>
          </w:p>
        </w:tc>
      </w:tr>
      <w:tr w:rsidR="003379BD" w14:paraId="7BD8C101" w14:textId="77777777" w:rsidTr="00683097">
        <w:trPr>
          <w:cantSplit/>
          <w:trHeight w:val="576"/>
        </w:trPr>
        <w:tc>
          <w:tcPr>
            <w:tcW w:w="11448" w:type="dxa"/>
            <w:gridSpan w:val="2"/>
            <w:tcBorders>
              <w:top w:val="nil"/>
              <w:left w:val="nil"/>
              <w:bottom w:val="nil"/>
              <w:right w:val="nil"/>
            </w:tcBorders>
          </w:tcPr>
          <w:p w14:paraId="0CC694FA" w14:textId="77777777" w:rsidR="000F2710" w:rsidRPr="00814184" w:rsidRDefault="003379BD" w:rsidP="000F2710">
            <w:pPr>
              <w:rPr>
                <w:rFonts w:ascii="Arial" w:hAnsi="Arial"/>
                <w:b/>
                <w:sz w:val="18"/>
              </w:rPr>
            </w:pPr>
            <w:r>
              <w:rPr>
                <w:rFonts w:ascii="Arial" w:hAnsi="Arial"/>
                <w:b/>
                <w:sz w:val="18"/>
              </w:rPr>
              <w:t>Rare Side Effects</w:t>
            </w:r>
            <w:r w:rsidR="00814184">
              <w:rPr>
                <w:rFonts w:ascii="Arial" w:hAnsi="Arial"/>
                <w:b/>
                <w:sz w:val="18"/>
              </w:rPr>
              <w:t xml:space="preserve">: </w:t>
            </w:r>
            <w:r w:rsidR="000F2710" w:rsidRPr="00F125E2">
              <w:rPr>
                <w:rFonts w:ascii="Arial" w:hAnsi="Arial"/>
                <w:noProof/>
                <w:sz w:val="18"/>
              </w:rPr>
              <w:t>Although rare, check with your doctor as soon as possible if any of the following side effects occur: asthma; bleeding from the rectum; bloody or black, tarry stools; change in sexual desire or performance; chest pain; double vision</w:t>
            </w:r>
            <w:r w:rsidR="009A6C5D">
              <w:rPr>
                <w:rFonts w:ascii="Arial" w:hAnsi="Arial"/>
                <w:noProof/>
                <w:sz w:val="18"/>
              </w:rPr>
              <w:t>; dry eyes</w:t>
            </w:r>
            <w:r w:rsidR="000F2710" w:rsidRPr="00F125E2">
              <w:rPr>
                <w:rFonts w:ascii="Arial" w:hAnsi="Arial"/>
                <w:noProof/>
                <w:sz w:val="18"/>
              </w:rPr>
              <w:t>; ear pain; fainting; fast heartbeat; fever, chills, or sore throat; hallucinations (seeing, hearing, or feeling things that are not there); hives; increased sense of hearing; increased sensitivity to sun; ir</w:t>
            </w:r>
            <w:r w:rsidR="009A6C5D">
              <w:rPr>
                <w:rFonts w:ascii="Arial" w:hAnsi="Arial"/>
                <w:noProof/>
                <w:sz w:val="18"/>
              </w:rPr>
              <w:t xml:space="preserve">ritation or soreness of mouth; </w:t>
            </w:r>
            <w:r w:rsidR="000F2710" w:rsidRPr="00F125E2">
              <w:rPr>
                <w:rFonts w:ascii="Arial" w:hAnsi="Arial"/>
                <w:noProof/>
                <w:sz w:val="18"/>
              </w:rPr>
              <w:t>kidney stones; large pupils of eyes; lower back, side, or stomach pain; menstrual changes; mood or mental changes; nerve pain or twitching; pelvic pain; problems in speaking; problems with urination; prolonged, painful, inappropriate penile erection; red or irritated eyes; sensitivity of eyes to light; swelling of face; swollen glands; talking, feeling, and acting with excitement and activity you cannot control; unusual bleeding or bruising; unusual feeling of well-being; unusual tiredness or weakness; vomiting of blood or material t</w:t>
            </w:r>
            <w:r w:rsidR="00FC3C5D">
              <w:rPr>
                <w:rFonts w:ascii="Arial" w:hAnsi="Arial"/>
                <w:noProof/>
                <w:sz w:val="18"/>
              </w:rPr>
              <w:t xml:space="preserve">hat looks like coffee grounds; </w:t>
            </w:r>
            <w:r w:rsidR="000F2710" w:rsidRPr="00F125E2">
              <w:rPr>
                <w:rFonts w:ascii="Arial" w:hAnsi="Arial"/>
                <w:noProof/>
                <w:sz w:val="18"/>
              </w:rPr>
              <w:t>unexpected or excess milk flow from breasts; swelling of the breasts or breast soreness in males.</w:t>
            </w:r>
          </w:p>
          <w:p w14:paraId="394DE1B5" w14:textId="77777777" w:rsidR="000F2710" w:rsidRDefault="000F2710" w:rsidP="00AD441D">
            <w:pPr>
              <w:rPr>
                <w:b/>
              </w:rPr>
            </w:pPr>
          </w:p>
        </w:tc>
      </w:tr>
      <w:tr w:rsidR="003379BD" w14:paraId="174D87F3" w14:textId="77777777" w:rsidTr="00683097">
        <w:trPr>
          <w:cantSplit/>
          <w:trHeight w:val="576"/>
        </w:trPr>
        <w:tc>
          <w:tcPr>
            <w:tcW w:w="11448" w:type="dxa"/>
            <w:gridSpan w:val="2"/>
            <w:tcBorders>
              <w:top w:val="nil"/>
              <w:left w:val="nil"/>
              <w:bottom w:val="nil"/>
              <w:right w:val="nil"/>
            </w:tcBorders>
          </w:tcPr>
          <w:p w14:paraId="457144EA"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56DA119" w14:textId="77777777" w:rsidR="005D2FC6" w:rsidRPr="00F628BA" w:rsidRDefault="005D2FC6" w:rsidP="00F628BA">
            <w:pPr>
              <w:pStyle w:val="ListParagraph"/>
              <w:numPr>
                <w:ilvl w:val="0"/>
                <w:numId w:val="7"/>
              </w:numPr>
              <w:rPr>
                <w:rFonts w:ascii="Arial" w:hAnsi="Arial"/>
                <w:noProof/>
                <w:sz w:val="18"/>
              </w:rPr>
            </w:pPr>
            <w:r w:rsidRPr="00F628BA">
              <w:rPr>
                <w:rFonts w:ascii="Arial" w:hAnsi="Arial"/>
                <w:b/>
                <w:snapToGrid w:val="0"/>
                <w:color w:val="000000"/>
                <w:sz w:val="18"/>
              </w:rPr>
              <w:t>Liver failure</w:t>
            </w:r>
            <w:r w:rsidR="00F628BA" w:rsidRPr="00F628BA">
              <w:rPr>
                <w:rFonts w:ascii="Arial" w:hAnsi="Arial"/>
                <w:b/>
                <w:snapToGrid w:val="0"/>
                <w:color w:val="000000"/>
                <w:sz w:val="18"/>
              </w:rPr>
              <w:br/>
            </w:r>
            <w:r w:rsidR="00724D39" w:rsidRPr="00F628BA">
              <w:rPr>
                <w:rFonts w:ascii="Arial" w:hAnsi="Arial"/>
                <w:noProof/>
                <w:sz w:val="18"/>
              </w:rPr>
              <w:t xml:space="preserve">This medicine may cause serious problems with your liver. Call your doctor right away for any of the following problems. Abdominal pain, nausea, vomiting, yellow eyes or skin, dark colored urine, light-colored stools, feeling </w:t>
            </w:r>
            <w:r w:rsidRPr="00F628BA">
              <w:rPr>
                <w:rFonts w:ascii="Arial" w:hAnsi="Arial"/>
                <w:noProof/>
                <w:sz w:val="18"/>
              </w:rPr>
              <w:t>very tired or weak.</w:t>
            </w:r>
          </w:p>
          <w:p w14:paraId="79C9F89F" w14:textId="77777777" w:rsidR="005D2FC6" w:rsidRPr="00F628BA" w:rsidRDefault="005D2FC6" w:rsidP="00F628BA">
            <w:pPr>
              <w:pStyle w:val="ListParagraph"/>
              <w:numPr>
                <w:ilvl w:val="0"/>
                <w:numId w:val="7"/>
              </w:numPr>
              <w:rPr>
                <w:rFonts w:ascii="Arial" w:hAnsi="Arial"/>
                <w:noProof/>
                <w:sz w:val="18"/>
              </w:rPr>
            </w:pPr>
            <w:r w:rsidRPr="00F628BA">
              <w:rPr>
                <w:rFonts w:ascii="Arial" w:hAnsi="Arial"/>
                <w:b/>
                <w:sz w:val="18"/>
              </w:rPr>
              <w:t>Driving and operating heavy machinery</w:t>
            </w:r>
            <w:r w:rsidR="00F628BA" w:rsidRPr="00F628BA">
              <w:rPr>
                <w:rFonts w:ascii="Arial" w:hAnsi="Arial"/>
                <w:b/>
                <w:sz w:val="18"/>
              </w:rPr>
              <w:br/>
            </w:r>
            <w:r w:rsidR="00724D39" w:rsidRPr="00F628BA">
              <w:rPr>
                <w:rFonts w:ascii="Arial" w:hAnsi="Arial"/>
                <w:noProof/>
                <w:sz w:val="18"/>
              </w:rPr>
              <w:t>This medicine may cause some people to become drowsy. If this occurs, do not drive, use machines, or do anything else that could be da</w:t>
            </w:r>
            <w:r w:rsidRPr="00F628BA">
              <w:rPr>
                <w:rFonts w:ascii="Arial" w:hAnsi="Arial"/>
                <w:noProof/>
                <w:sz w:val="18"/>
              </w:rPr>
              <w:t>ngerous if you are not alert .</w:t>
            </w:r>
          </w:p>
          <w:p w14:paraId="5453E2F9" w14:textId="77777777" w:rsidR="00A1290D" w:rsidRPr="00F628BA" w:rsidRDefault="005D2FC6" w:rsidP="00F628BA">
            <w:pPr>
              <w:pStyle w:val="ListParagraph"/>
              <w:numPr>
                <w:ilvl w:val="0"/>
                <w:numId w:val="7"/>
              </w:numPr>
              <w:rPr>
                <w:rFonts w:ascii="Arial" w:hAnsi="Arial"/>
                <w:noProof/>
                <w:sz w:val="18"/>
              </w:rPr>
            </w:pPr>
            <w:r w:rsidRPr="00F628BA">
              <w:rPr>
                <w:rFonts w:ascii="Arial" w:hAnsi="Arial"/>
                <w:b/>
                <w:sz w:val="18"/>
              </w:rPr>
              <w:t>Orthostatic hypotension</w:t>
            </w:r>
            <w:r w:rsidR="00F628BA" w:rsidRPr="00F628BA">
              <w:rPr>
                <w:rFonts w:ascii="Arial" w:hAnsi="Arial"/>
                <w:b/>
                <w:sz w:val="18"/>
              </w:rPr>
              <w:br/>
            </w:r>
            <w:r w:rsidR="00724D39" w:rsidRPr="00F628BA">
              <w:rPr>
                <w:rFonts w:ascii="Arial" w:hAnsi="Arial"/>
                <w:noProof/>
                <w:sz w:val="18"/>
              </w:rPr>
              <w:t>Dizziness, lightheadedness, or fainting may occur, especially when you get up from a lying or sitting position. Getting up slowly may help. If this problem continues or gets</w:t>
            </w:r>
            <w:r w:rsidR="00A1290D" w:rsidRPr="00F628BA">
              <w:rPr>
                <w:rFonts w:ascii="Arial" w:hAnsi="Arial"/>
                <w:noProof/>
                <w:sz w:val="18"/>
              </w:rPr>
              <w:t xml:space="preserve"> worse, check with your doctor.</w:t>
            </w:r>
          </w:p>
          <w:p w14:paraId="313743FF" w14:textId="77777777" w:rsidR="00A1290D" w:rsidRPr="00F628BA" w:rsidRDefault="00A1290D" w:rsidP="00F628BA">
            <w:pPr>
              <w:pStyle w:val="ListParagraph"/>
              <w:numPr>
                <w:ilvl w:val="0"/>
                <w:numId w:val="7"/>
              </w:numPr>
              <w:rPr>
                <w:rFonts w:ascii="Arial" w:hAnsi="Arial"/>
                <w:noProof/>
                <w:sz w:val="18"/>
              </w:rPr>
            </w:pPr>
            <w:r w:rsidRPr="00F628BA">
              <w:rPr>
                <w:rFonts w:ascii="Arial" w:hAnsi="Arial"/>
                <w:b/>
                <w:noProof/>
                <w:sz w:val="18"/>
              </w:rPr>
              <w:t>Fractures</w:t>
            </w:r>
            <w:r w:rsidR="00F628BA" w:rsidRPr="00F628BA">
              <w:rPr>
                <w:rFonts w:ascii="Arial" w:hAnsi="Arial"/>
                <w:b/>
                <w:noProof/>
                <w:sz w:val="18"/>
              </w:rPr>
              <w:br/>
            </w:r>
            <w:r w:rsidRPr="00F628BA">
              <w:rPr>
                <w:rFonts w:ascii="Arial" w:hAnsi="Arial"/>
                <w:noProof/>
                <w:sz w:val="18"/>
              </w:rPr>
              <w:t>This medication has been associated with bone fractures.</w:t>
            </w:r>
          </w:p>
          <w:p w14:paraId="303869CD" w14:textId="77777777" w:rsidR="00A1290D" w:rsidRPr="00F628BA" w:rsidRDefault="00A1290D" w:rsidP="00F628BA">
            <w:pPr>
              <w:pStyle w:val="ListParagraph"/>
              <w:numPr>
                <w:ilvl w:val="0"/>
                <w:numId w:val="7"/>
              </w:numPr>
              <w:rPr>
                <w:rFonts w:ascii="Arial" w:hAnsi="Arial"/>
                <w:noProof/>
                <w:sz w:val="18"/>
              </w:rPr>
            </w:pPr>
            <w:r w:rsidRPr="00F628BA">
              <w:rPr>
                <w:rFonts w:ascii="Arial" w:hAnsi="Arial"/>
                <w:b/>
                <w:noProof/>
                <w:sz w:val="18"/>
              </w:rPr>
              <w:t>Sexual dysfunction</w:t>
            </w:r>
            <w:r w:rsidR="00F628BA" w:rsidRPr="00F628BA">
              <w:rPr>
                <w:rFonts w:ascii="Arial" w:hAnsi="Arial"/>
                <w:b/>
                <w:noProof/>
                <w:sz w:val="18"/>
              </w:rPr>
              <w:br/>
            </w:r>
            <w:r w:rsidRPr="00F628BA">
              <w:rPr>
                <w:rFonts w:ascii="Arial" w:hAnsi="Arial"/>
                <w:noProof/>
                <w:sz w:val="18"/>
              </w:rPr>
              <w:t>This medication has been associated with rare reports of a decrease in sexual desire or function.</w:t>
            </w:r>
          </w:p>
          <w:p w14:paraId="7F3FA0FB" w14:textId="77777777" w:rsidR="00A1290D" w:rsidRPr="00F628BA" w:rsidRDefault="00A1290D" w:rsidP="00F628BA">
            <w:pPr>
              <w:pStyle w:val="ListParagraph"/>
              <w:numPr>
                <w:ilvl w:val="0"/>
                <w:numId w:val="7"/>
              </w:numPr>
              <w:rPr>
                <w:rFonts w:ascii="Arial" w:hAnsi="Arial"/>
                <w:noProof/>
                <w:sz w:val="18"/>
              </w:rPr>
            </w:pPr>
            <w:r w:rsidRPr="00F628BA">
              <w:rPr>
                <w:rFonts w:ascii="Arial" w:hAnsi="Arial"/>
                <w:b/>
                <w:noProof/>
                <w:sz w:val="18"/>
              </w:rPr>
              <w:t>Seizure</w:t>
            </w:r>
            <w:r w:rsidR="00F628BA" w:rsidRPr="00F628BA">
              <w:rPr>
                <w:rFonts w:ascii="Arial" w:hAnsi="Arial"/>
                <w:b/>
                <w:noProof/>
                <w:sz w:val="18"/>
              </w:rPr>
              <w:br/>
            </w:r>
            <w:r w:rsidRPr="00F628BA">
              <w:rPr>
                <w:rFonts w:ascii="Arial" w:hAnsi="Arial"/>
                <w:noProof/>
                <w:sz w:val="18"/>
              </w:rPr>
              <w:t>This medication may increase the risk of experiencing a seizure. This risk may be further increased in those who have a history of seizures.</w:t>
            </w:r>
          </w:p>
          <w:p w14:paraId="470FB046" w14:textId="77777777" w:rsidR="00012A63" w:rsidRPr="00F628BA" w:rsidRDefault="00A1290D" w:rsidP="00F628BA">
            <w:pPr>
              <w:pStyle w:val="ListParagraph"/>
              <w:numPr>
                <w:ilvl w:val="0"/>
                <w:numId w:val="7"/>
              </w:numPr>
              <w:rPr>
                <w:rFonts w:ascii="Arial" w:hAnsi="Arial"/>
                <w:noProof/>
                <w:sz w:val="18"/>
              </w:rPr>
            </w:pPr>
            <w:r w:rsidRPr="00F628BA">
              <w:rPr>
                <w:rFonts w:ascii="Arial" w:hAnsi="Arial"/>
                <w:b/>
                <w:noProof/>
                <w:sz w:val="18"/>
              </w:rPr>
              <w:t>Withdrawal</w:t>
            </w:r>
            <w:r w:rsidR="00F628BA" w:rsidRPr="00F628BA">
              <w:rPr>
                <w:rFonts w:ascii="Arial" w:hAnsi="Arial"/>
                <w:b/>
                <w:noProof/>
                <w:sz w:val="18"/>
              </w:rPr>
              <w:br/>
            </w:r>
            <w:r w:rsidR="00012A63" w:rsidRPr="00F628BA">
              <w:rPr>
                <w:rFonts w:ascii="Arial" w:hAnsi="Arial"/>
                <w:noProof/>
                <w:sz w:val="18"/>
              </w:rPr>
              <w:t>You should not suddenly stop taking this medication as it could cause you to experience symptoms of withdrawal. Please speak with your doctor before starting this medication.</w:t>
            </w:r>
          </w:p>
          <w:p w14:paraId="3FEA4745" w14:textId="77777777" w:rsidR="00F628BA" w:rsidRDefault="00F628BA" w:rsidP="00F628BA">
            <w:pPr>
              <w:pStyle w:val="ListParagraph"/>
              <w:ind w:left="360"/>
              <w:rPr>
                <w:rFonts w:ascii="Arial" w:hAnsi="Arial"/>
                <w:noProof/>
                <w:sz w:val="18"/>
              </w:rPr>
            </w:pPr>
          </w:p>
          <w:p w14:paraId="19BCF3BE" w14:textId="77777777" w:rsidR="00724D39" w:rsidRPr="00F628BA" w:rsidRDefault="00724D39" w:rsidP="00F628BA">
            <w:pPr>
              <w:pStyle w:val="ListParagraph"/>
              <w:ind w:left="360"/>
              <w:rPr>
                <w:rFonts w:ascii="Arial" w:hAnsi="Arial"/>
                <w:sz w:val="18"/>
              </w:rPr>
            </w:pPr>
            <w:r w:rsidRPr="00F628BA">
              <w:rPr>
                <w:rFonts w:ascii="Arial" w:hAnsi="Arial"/>
                <w:noProof/>
                <w:sz w:val="18"/>
              </w:rPr>
              <w:t>Before having any kind of surgery, dental treatment, or emergency treatment, tell the medical doctor or dentist in charge that you are using this medicine. Patients being treated with antidepressants for clinical worsening of the symptoms of depression, for the emergence of suicidality, and for the emergence of a variety of other symptoms that may represent a worsening of the patient's condition.</w:t>
            </w:r>
          </w:p>
          <w:p w14:paraId="00DF730E" w14:textId="77777777" w:rsidR="00724D39" w:rsidRDefault="00724D39" w:rsidP="00AD441D">
            <w:pPr>
              <w:rPr>
                <w:b/>
              </w:rPr>
            </w:pPr>
          </w:p>
        </w:tc>
      </w:tr>
      <w:tr w:rsidR="003379BD" w14:paraId="01F3ED07" w14:textId="77777777" w:rsidTr="00F628BA">
        <w:trPr>
          <w:trHeight w:val="576"/>
        </w:trPr>
        <w:tc>
          <w:tcPr>
            <w:tcW w:w="11448" w:type="dxa"/>
            <w:gridSpan w:val="2"/>
            <w:tcBorders>
              <w:top w:val="nil"/>
              <w:left w:val="nil"/>
              <w:bottom w:val="nil"/>
              <w:right w:val="nil"/>
            </w:tcBorders>
          </w:tcPr>
          <w:p w14:paraId="14654109" w14:textId="77777777" w:rsidR="00F31CEC" w:rsidRPr="00E26A0C" w:rsidRDefault="00C37ECF" w:rsidP="00F31CEC">
            <w:pPr>
              <w:rPr>
                <w:rFonts w:ascii="Arial" w:hAnsi="Arial"/>
                <w:b/>
                <w:sz w:val="18"/>
              </w:rPr>
            </w:pPr>
            <w:r>
              <w:rPr>
                <w:rFonts w:ascii="Arial" w:hAnsi="Arial"/>
                <w:b/>
                <w:sz w:val="18"/>
              </w:rPr>
              <w:t xml:space="preserve">Warning: [Black Box Warning]: Hepatic failure: </w:t>
            </w:r>
          </w:p>
          <w:p w14:paraId="0B7CA763" w14:textId="77777777" w:rsidR="00F31CEC" w:rsidRPr="00E26A0C" w:rsidRDefault="00C37ECF" w:rsidP="00F31CEC">
            <w:pPr>
              <w:rPr>
                <w:rFonts w:ascii="Arial" w:hAnsi="Arial"/>
                <w:sz w:val="18"/>
              </w:rPr>
            </w:pPr>
            <w:r>
              <w:rPr>
                <w:rFonts w:ascii="Arial" w:hAnsi="Arial"/>
                <w:sz w:val="18"/>
              </w:rPr>
              <w:t>L</w:t>
            </w:r>
            <w:r w:rsidR="00F31CEC" w:rsidRPr="00E26A0C">
              <w:rPr>
                <w:rFonts w:ascii="Arial" w:hAnsi="Arial"/>
                <w:sz w:val="18"/>
              </w:rPr>
              <w:t xml:space="preserve">ife-threatening cases have been reported with use. The reported rate in the </w:t>
            </w:r>
            <w:smartTag w:uri="urn:schemas-microsoft-com:office:smarttags" w:element="place">
              <w:smartTag w:uri="urn:schemas-microsoft-com:office:smarttags" w:element="country-region">
                <w:r w:rsidR="00F31CEC" w:rsidRPr="00E26A0C">
                  <w:rPr>
                    <w:rFonts w:ascii="Arial" w:hAnsi="Arial"/>
                    <w:sz w:val="18"/>
                  </w:rPr>
                  <w:t>U.S.</w:t>
                </w:r>
              </w:smartTag>
            </w:smartTag>
            <w:r w:rsidR="00F31CEC" w:rsidRPr="00E26A0C">
              <w:rPr>
                <w:rFonts w:ascii="Arial" w:hAnsi="Arial"/>
                <w:sz w:val="18"/>
              </w:rPr>
              <w:t xml:space="preserve"> is approximately 1 case of liver failure resulting in death or transplant per 250,000 to 300,000 patient-years of nefazodone treatment. The total patient-years is a summation of each patient's duration of exposure expressed in years. Ordinarily, treatment with nefazodone should not be initiated in individuals with active liver disease or elevated baseline serum transaminases. There is no evidence that pre-existing liver disease increases the likelihood of developing liver failure; however, baseline abnormalities can complicate patient monitoring. Patients should be advised to be alert for signs and symptoms of liver dysfunction, report immediately to doctor. Nefazodone should be discontinued if clinical signs or symptoms suggest liver failure.</w:t>
            </w:r>
          </w:p>
          <w:p w14:paraId="482E4A22" w14:textId="77777777" w:rsidR="00C37ECF" w:rsidRDefault="00C37ECF" w:rsidP="00F31CEC">
            <w:pPr>
              <w:rPr>
                <w:rFonts w:ascii="Arial" w:hAnsi="Arial"/>
                <w:b/>
                <w:sz w:val="18"/>
              </w:rPr>
            </w:pPr>
            <w:r>
              <w:rPr>
                <w:rFonts w:ascii="Arial" w:hAnsi="Arial"/>
                <w:b/>
                <w:sz w:val="18"/>
              </w:rPr>
              <w:t xml:space="preserve">Warning: [Black Box Warning]: </w:t>
            </w:r>
            <w:r w:rsidR="00F31CEC" w:rsidRPr="00E26A0C">
              <w:rPr>
                <w:rFonts w:ascii="Arial" w:hAnsi="Arial"/>
                <w:b/>
                <w:sz w:val="18"/>
              </w:rPr>
              <w:t>Antidepressants and Suicidality</w:t>
            </w:r>
            <w:r w:rsidR="00F31CEC">
              <w:rPr>
                <w:rFonts w:ascii="Arial" w:hAnsi="Arial"/>
                <w:b/>
                <w:sz w:val="18"/>
              </w:rPr>
              <w:t xml:space="preserve">: </w:t>
            </w:r>
          </w:p>
          <w:p w14:paraId="32DECF49" w14:textId="77777777" w:rsidR="00F31CEC" w:rsidRPr="00E26A0C" w:rsidRDefault="00F31CEC" w:rsidP="00F31CEC">
            <w:pPr>
              <w:rPr>
                <w:rFonts w:ascii="Arial" w:hAnsi="Arial"/>
                <w:sz w:val="18"/>
              </w:rPr>
            </w:pPr>
            <w:r w:rsidRPr="00E26A0C">
              <w:rPr>
                <w:rFonts w:ascii="Arial" w:hAnsi="Arial"/>
                <w:sz w:val="18"/>
              </w:rPr>
              <w:t>Antidepressants increased the risk compared to placebo of suicidal thinking and behavior (suicidality) in short term studies in children, adolescents, and young adults with major depressive disorder (MDD) and other psychiatric disorders.</w:t>
            </w:r>
          </w:p>
          <w:p w14:paraId="28C2E5E8" w14:textId="77777777" w:rsidR="00F31CEC" w:rsidRPr="00E26A0C" w:rsidRDefault="00F31CEC" w:rsidP="00F31CEC">
            <w:pPr>
              <w:rPr>
                <w:rFonts w:ascii="Arial" w:hAnsi="Arial"/>
                <w:sz w:val="18"/>
              </w:rPr>
            </w:pPr>
            <w:r w:rsidRPr="00E26A0C">
              <w:rPr>
                <w:rFonts w:ascii="Arial" w:hAnsi="Arial"/>
                <w:sz w:val="18"/>
              </w:rPr>
              <w:t xml:space="preserve">Anyone considering the use of this drug or any other antidepressant in a child, adolescent, or young adult must balance this risk with the clinical need. Short-term studies did not show an increase in the risk of suicidality with antidepressants compared to placebo in adults </w:t>
            </w:r>
            <w:r w:rsidRPr="00E26A0C">
              <w:rPr>
                <w:rFonts w:ascii="Arial" w:hAnsi="Arial"/>
                <w:sz w:val="18"/>
              </w:rPr>
              <w:lastRenderedPageBreak/>
              <w:t>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w:t>
            </w:r>
          </w:p>
          <w:p w14:paraId="57FACC92" w14:textId="77777777" w:rsidR="00F31CEC" w:rsidRDefault="00F31CEC" w:rsidP="00F31CEC">
            <w:pPr>
              <w:rPr>
                <w:rFonts w:ascii="Arial" w:hAnsi="Arial"/>
                <w:sz w:val="18"/>
              </w:rPr>
            </w:pPr>
            <w:r w:rsidRPr="00E26A0C">
              <w:rPr>
                <w:rFonts w:ascii="Arial" w:hAnsi="Arial"/>
                <w:sz w:val="18"/>
              </w:rPr>
              <w:t>This drug is not approved for use in pediatric patients.</w:t>
            </w:r>
          </w:p>
          <w:p w14:paraId="4B86EE55" w14:textId="77777777" w:rsidR="00F31CEC" w:rsidRPr="00E26A0C" w:rsidRDefault="00F31CEC" w:rsidP="00F31CEC">
            <w:pPr>
              <w:rPr>
                <w:rFonts w:ascii="Arial" w:hAnsi="Arial"/>
                <w:sz w:val="18"/>
              </w:rPr>
            </w:pPr>
            <w:r>
              <w:rPr>
                <w:rFonts w:ascii="Arial" w:hAnsi="Arial"/>
                <w:sz w:val="18"/>
              </w:rPr>
              <w:br/>
            </w:r>
            <w:r w:rsidRPr="00E26A0C">
              <w:rPr>
                <w:rFonts w:ascii="Arial" w:hAnsi="Arial"/>
                <w:sz w:val="18"/>
              </w:rPr>
              <w:t>MONITORING RECOMMENDATIONS RELATED TO BLACK BOX DATA</w:t>
            </w:r>
          </w:p>
          <w:p w14:paraId="1271FEEF" w14:textId="77777777" w:rsidR="00F31CEC" w:rsidRPr="00E26A0C" w:rsidRDefault="00F31CEC" w:rsidP="00F31CEC">
            <w:pPr>
              <w:ind w:left="180" w:hanging="180"/>
              <w:rPr>
                <w:rFonts w:ascii="Arial" w:hAnsi="Arial"/>
                <w:sz w:val="18"/>
              </w:rPr>
            </w:pPr>
            <w:r w:rsidRPr="00E26A0C">
              <w:rPr>
                <w:rFonts w:ascii="Arial" w:hAnsi="Arial"/>
                <w:sz w:val="18"/>
              </w:rPr>
              <w:t>—Do not initiate therapy in patients with active liver disease or elevated baseline serum transaminases. There is no evidence that pre</w:t>
            </w:r>
            <w:r>
              <w:rPr>
                <w:rFonts w:ascii="Arial" w:hAnsi="Arial"/>
                <w:sz w:val="18"/>
              </w:rPr>
              <w:t>-</w:t>
            </w:r>
            <w:r w:rsidRPr="00E26A0C">
              <w:rPr>
                <w:rFonts w:ascii="Arial" w:hAnsi="Arial"/>
                <w:sz w:val="18"/>
              </w:rPr>
              <w:t>existing liver disease increases risk of liver failure, but it can complicate patient monitoring.</w:t>
            </w:r>
          </w:p>
          <w:p w14:paraId="3A4DD850" w14:textId="77777777" w:rsidR="00F31CEC" w:rsidRPr="00E26A0C" w:rsidRDefault="00F31CEC" w:rsidP="00F31CEC">
            <w:pPr>
              <w:rPr>
                <w:rFonts w:ascii="Arial" w:hAnsi="Arial"/>
                <w:sz w:val="18"/>
              </w:rPr>
            </w:pPr>
            <w:r w:rsidRPr="00E26A0C">
              <w:rPr>
                <w:rFonts w:ascii="Arial" w:hAnsi="Arial"/>
                <w:sz w:val="18"/>
              </w:rPr>
              <w:t>—Withdraw therapy if serum AST or serum ALT &gt; 3 times upper limit of normal. Should not be considered for re-treatment.</w:t>
            </w:r>
          </w:p>
          <w:p w14:paraId="57704576" w14:textId="77777777" w:rsidR="00F31CEC" w:rsidRPr="00E26A0C" w:rsidRDefault="00F31CEC" w:rsidP="00F31CEC">
            <w:pPr>
              <w:rPr>
                <w:rFonts w:ascii="Arial" w:hAnsi="Arial"/>
                <w:sz w:val="18"/>
              </w:rPr>
            </w:pPr>
            <w:r w:rsidRPr="00E26A0C">
              <w:rPr>
                <w:rFonts w:ascii="Arial" w:hAnsi="Arial"/>
                <w:sz w:val="18"/>
              </w:rPr>
              <w:t>—Close observation for suicidal thinking or unusual changes in behavior.</w:t>
            </w:r>
          </w:p>
          <w:p w14:paraId="092595E3" w14:textId="77777777" w:rsidR="003379BD" w:rsidRDefault="003379BD" w:rsidP="00AD441D">
            <w:pPr>
              <w:rPr>
                <w:b/>
              </w:rPr>
            </w:pPr>
          </w:p>
        </w:tc>
      </w:tr>
      <w:tr w:rsidR="003379BD" w14:paraId="67F9A9CB" w14:textId="77777777">
        <w:trPr>
          <w:cantSplit/>
          <w:trHeight w:hRule="exact" w:val="288"/>
        </w:trPr>
        <w:tc>
          <w:tcPr>
            <w:tcW w:w="11448" w:type="dxa"/>
            <w:gridSpan w:val="2"/>
            <w:tcBorders>
              <w:top w:val="nil"/>
              <w:left w:val="nil"/>
              <w:bottom w:val="single" w:sz="4" w:space="0" w:color="auto"/>
              <w:right w:val="nil"/>
            </w:tcBorders>
            <w:vAlign w:val="bottom"/>
          </w:tcPr>
          <w:p w14:paraId="05D8C491" w14:textId="13CA0C23" w:rsidR="003379BD" w:rsidRDefault="003379BD" w:rsidP="005325D4">
            <w:pPr>
              <w:rPr>
                <w:rFonts w:ascii="Arial" w:hAnsi="Arial"/>
                <w:sz w:val="18"/>
              </w:rPr>
            </w:pPr>
            <w:r>
              <w:rPr>
                <w:rFonts w:ascii="Arial" w:hAnsi="Arial"/>
                <w:sz w:val="18"/>
              </w:rPr>
              <w:lastRenderedPageBreak/>
              <w:t xml:space="preserve">See </w:t>
            </w:r>
            <w:r w:rsidR="0073039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8E5BBB1" w14:textId="77777777">
        <w:trPr>
          <w:cantSplit/>
        </w:trPr>
        <w:tc>
          <w:tcPr>
            <w:tcW w:w="11448" w:type="dxa"/>
            <w:gridSpan w:val="2"/>
            <w:tcBorders>
              <w:top w:val="nil"/>
              <w:left w:val="nil"/>
              <w:bottom w:val="nil"/>
              <w:right w:val="nil"/>
            </w:tcBorders>
          </w:tcPr>
          <w:p w14:paraId="6FF3CDA4"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7724F5A0"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FEFEE7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29B2D8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62DA08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F734B4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51AE70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1D353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F8FFBC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71BB48D3" w14:textId="77777777" w:rsidR="003379BD" w:rsidRDefault="003379BD">
            <w:pPr>
              <w:tabs>
                <w:tab w:val="left" w:pos="360"/>
                <w:tab w:val="left" w:pos="630"/>
              </w:tabs>
              <w:rPr>
                <w:rFonts w:ascii="Arial" w:hAnsi="Arial"/>
                <w:sz w:val="10"/>
              </w:rPr>
            </w:pPr>
          </w:p>
        </w:tc>
      </w:tr>
    </w:tbl>
    <w:p w14:paraId="605E44A6"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2C90AEC" w14:textId="77777777" w:rsidTr="0021563E">
        <w:trPr>
          <w:cantSplit/>
        </w:trPr>
        <w:tc>
          <w:tcPr>
            <w:tcW w:w="9918" w:type="dxa"/>
            <w:gridSpan w:val="5"/>
            <w:tcBorders>
              <w:top w:val="nil"/>
              <w:left w:val="nil"/>
              <w:bottom w:val="nil"/>
              <w:right w:val="nil"/>
            </w:tcBorders>
          </w:tcPr>
          <w:p w14:paraId="1B7C7BDC"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1A85B73" w14:textId="77777777" w:rsidR="003379BD" w:rsidRDefault="005325D4" w:rsidP="0021563E">
            <w:pPr>
              <w:ind w:left="-18"/>
              <w:rPr>
                <w:rFonts w:ascii="Arial" w:hAnsi="Arial"/>
                <w:b/>
                <w:sz w:val="18"/>
              </w:rPr>
            </w:pPr>
            <w:r>
              <w:rPr>
                <w:rFonts w:ascii="Arial" w:hAnsi="Arial"/>
                <w:b/>
                <w:sz w:val="18"/>
              </w:rPr>
              <w:t>DATE SIGNED</w:t>
            </w:r>
          </w:p>
        </w:tc>
      </w:tr>
      <w:tr w:rsidR="003379BD" w14:paraId="558EA4B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5B49F6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D55126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3B1043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8FB8E4B" w14:textId="77777777" w:rsidR="003379BD" w:rsidRDefault="003379BD">
            <w:pPr>
              <w:rPr>
                <w:rFonts w:ascii="Arial" w:hAnsi="Arial"/>
                <w:sz w:val="18"/>
              </w:rPr>
            </w:pPr>
          </w:p>
        </w:tc>
      </w:tr>
      <w:tr w:rsidR="003379BD" w14:paraId="38D53E5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C510526"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B3F5D6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8EEB652" w14:textId="77777777" w:rsidR="003379BD" w:rsidRDefault="003379BD">
            <w:pPr>
              <w:rPr>
                <w:rFonts w:ascii="Arial" w:hAnsi="Arial"/>
                <w:sz w:val="18"/>
              </w:rPr>
            </w:pPr>
          </w:p>
        </w:tc>
      </w:tr>
      <w:tr w:rsidR="007A6FC3" w14:paraId="0EBDBE19" w14:textId="77777777">
        <w:trPr>
          <w:cantSplit/>
          <w:trHeight w:hRule="exact" w:val="864"/>
        </w:trPr>
        <w:tc>
          <w:tcPr>
            <w:tcW w:w="11448" w:type="dxa"/>
            <w:gridSpan w:val="6"/>
            <w:tcBorders>
              <w:top w:val="single" w:sz="4" w:space="0" w:color="auto"/>
              <w:left w:val="nil"/>
              <w:bottom w:val="single" w:sz="4" w:space="0" w:color="auto"/>
              <w:right w:val="nil"/>
            </w:tcBorders>
          </w:tcPr>
          <w:p w14:paraId="67C514D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CD1A5E7"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03282D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B0D3A2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D6732D"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B2BBC9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57D860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B8A639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71AD35F"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F6AA0">
              <w:rPr>
                <w:rFonts w:ascii="Arial" w:hAnsi="Arial"/>
                <w:sz w:val="18"/>
              </w:rPr>
            </w:r>
            <w:r w:rsidR="007F6AA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E30B1A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7EF38A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F5D87A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2291C5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D1B7C0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B934" w14:textId="77777777" w:rsidR="005351BB" w:rsidRDefault="005351BB" w:rsidP="007A6FC3">
      <w:r>
        <w:separator/>
      </w:r>
    </w:p>
  </w:endnote>
  <w:endnote w:type="continuationSeparator" w:id="0">
    <w:p w14:paraId="3EA21325" w14:textId="77777777" w:rsidR="005351BB" w:rsidRDefault="005351B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434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C55">
      <w:rPr>
        <w:rStyle w:val="PageNumber"/>
        <w:noProof/>
      </w:rPr>
      <w:t>3</w:t>
    </w:r>
    <w:r>
      <w:rPr>
        <w:rStyle w:val="PageNumber"/>
      </w:rPr>
      <w:fldChar w:fldCharType="end"/>
    </w:r>
  </w:p>
  <w:p w14:paraId="277E65B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E66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C55">
      <w:rPr>
        <w:rStyle w:val="PageNumber"/>
        <w:noProof/>
      </w:rPr>
      <w:t>3</w:t>
    </w:r>
    <w:r>
      <w:rPr>
        <w:rStyle w:val="PageNumber"/>
      </w:rPr>
      <w:fldChar w:fldCharType="end"/>
    </w:r>
  </w:p>
  <w:p w14:paraId="34657B52"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702E5C5" w14:textId="77777777" w:rsidTr="00CC7A80">
      <w:tc>
        <w:tcPr>
          <w:tcW w:w="1932" w:type="dxa"/>
          <w:shd w:val="clear" w:color="auto" w:fill="auto"/>
        </w:tcPr>
        <w:p w14:paraId="0276CD5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2B0D33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4A4D60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2B4350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6634BA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A59EDC2" w14:textId="77777777" w:rsidR="0018307F" w:rsidRPr="00CC7A80" w:rsidRDefault="0018307F" w:rsidP="00CC7A80">
          <w:pPr>
            <w:pStyle w:val="Footer"/>
            <w:jc w:val="right"/>
            <w:rPr>
              <w:rFonts w:ascii="Arial" w:hAnsi="Arial" w:cs="Arial"/>
              <w:sz w:val="18"/>
              <w:szCs w:val="18"/>
            </w:rPr>
          </w:pPr>
        </w:p>
      </w:tc>
    </w:tr>
  </w:tbl>
  <w:p w14:paraId="25359C8C" w14:textId="77777777" w:rsidR="0018307F" w:rsidRDefault="0018307F" w:rsidP="0021563E">
    <w:pPr>
      <w:pStyle w:val="Footer"/>
      <w:jc w:val="right"/>
    </w:pPr>
  </w:p>
  <w:p w14:paraId="14C3628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E7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C55">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BEC907D" w14:textId="77777777" w:rsidTr="00CC7A80">
      <w:tc>
        <w:tcPr>
          <w:tcW w:w="1932" w:type="dxa"/>
          <w:shd w:val="clear" w:color="auto" w:fill="auto"/>
        </w:tcPr>
        <w:p w14:paraId="40F1556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5655C2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C8C3B6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AD08B7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D83C11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292FC7A" w14:textId="77777777" w:rsidR="0018307F" w:rsidRPr="00CC7A80" w:rsidRDefault="0018307F" w:rsidP="00CC7A80">
          <w:pPr>
            <w:pStyle w:val="Footer"/>
            <w:jc w:val="right"/>
            <w:rPr>
              <w:rFonts w:ascii="Arial" w:hAnsi="Arial" w:cs="Arial"/>
              <w:sz w:val="18"/>
              <w:szCs w:val="18"/>
            </w:rPr>
          </w:pPr>
        </w:p>
      </w:tc>
    </w:tr>
  </w:tbl>
  <w:p w14:paraId="1D6FDFC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F845" w14:textId="77777777" w:rsidR="005351BB" w:rsidRDefault="005351BB" w:rsidP="007A6FC3">
      <w:r>
        <w:separator/>
      </w:r>
    </w:p>
  </w:footnote>
  <w:footnote w:type="continuationSeparator" w:id="0">
    <w:p w14:paraId="103E5EA9" w14:textId="77777777" w:rsidR="005351BB" w:rsidRDefault="005351B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0DA651FD"/>
    <w:multiLevelType w:val="hybridMultilevel"/>
    <w:tmpl w:val="74A8D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C0C6E"/>
    <w:multiLevelType w:val="hybridMultilevel"/>
    <w:tmpl w:val="370C3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CB87292"/>
    <w:multiLevelType w:val="hybridMultilevel"/>
    <w:tmpl w:val="5A6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467686">
    <w:abstractNumId w:val="1"/>
  </w:num>
  <w:num w:numId="2" w16cid:durableId="1626497112">
    <w:abstractNumId w:val="5"/>
  </w:num>
  <w:num w:numId="3" w16cid:durableId="1589776678">
    <w:abstractNumId w:val="4"/>
  </w:num>
  <w:num w:numId="4" w16cid:durableId="812255837">
    <w:abstractNumId w:val="0"/>
  </w:num>
  <w:num w:numId="5" w16cid:durableId="2111971744">
    <w:abstractNumId w:val="2"/>
  </w:num>
  <w:num w:numId="6" w16cid:durableId="2001619064">
    <w:abstractNumId w:val="6"/>
  </w:num>
  <w:num w:numId="7" w16cid:durableId="166523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I/iUOjO7j9huBrEV2F6cCmBvjhuV0NkGeZW1vSHBtPnBgz7TGC3+SwwBbp5tvePL1VURurUWiKesqhRxtM9w==" w:salt="a/ScqMWmJ0G8g/IBm2Wbd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2A63"/>
    <w:rsid w:val="00017A46"/>
    <w:rsid w:val="00020388"/>
    <w:rsid w:val="00031FEC"/>
    <w:rsid w:val="000349CA"/>
    <w:rsid w:val="00057F83"/>
    <w:rsid w:val="00065117"/>
    <w:rsid w:val="000755E2"/>
    <w:rsid w:val="00082C72"/>
    <w:rsid w:val="00097390"/>
    <w:rsid w:val="000A49CD"/>
    <w:rsid w:val="000E25AD"/>
    <w:rsid w:val="000F2710"/>
    <w:rsid w:val="00101422"/>
    <w:rsid w:val="00156DC1"/>
    <w:rsid w:val="0018307F"/>
    <w:rsid w:val="0021563E"/>
    <w:rsid w:val="00295B89"/>
    <w:rsid w:val="002E13D5"/>
    <w:rsid w:val="00311731"/>
    <w:rsid w:val="0031599E"/>
    <w:rsid w:val="003379BD"/>
    <w:rsid w:val="00343813"/>
    <w:rsid w:val="003A15FD"/>
    <w:rsid w:val="003B2EF9"/>
    <w:rsid w:val="003B70D9"/>
    <w:rsid w:val="003D356D"/>
    <w:rsid w:val="003E2451"/>
    <w:rsid w:val="003E29B2"/>
    <w:rsid w:val="00403793"/>
    <w:rsid w:val="004553BF"/>
    <w:rsid w:val="00464819"/>
    <w:rsid w:val="0047002C"/>
    <w:rsid w:val="00492704"/>
    <w:rsid w:val="004B0216"/>
    <w:rsid w:val="004D379B"/>
    <w:rsid w:val="00502DC0"/>
    <w:rsid w:val="005325D4"/>
    <w:rsid w:val="005351BB"/>
    <w:rsid w:val="005508EB"/>
    <w:rsid w:val="0056414C"/>
    <w:rsid w:val="0059662D"/>
    <w:rsid w:val="005A70E2"/>
    <w:rsid w:val="005C03B7"/>
    <w:rsid w:val="005D2FC6"/>
    <w:rsid w:val="005E5F00"/>
    <w:rsid w:val="00606B81"/>
    <w:rsid w:val="00621771"/>
    <w:rsid w:val="00623F61"/>
    <w:rsid w:val="0064565E"/>
    <w:rsid w:val="00653309"/>
    <w:rsid w:val="00683097"/>
    <w:rsid w:val="006B7A42"/>
    <w:rsid w:val="006F71E9"/>
    <w:rsid w:val="00724D39"/>
    <w:rsid w:val="00730393"/>
    <w:rsid w:val="00767B79"/>
    <w:rsid w:val="00775C94"/>
    <w:rsid w:val="007A6FC3"/>
    <w:rsid w:val="007B70D7"/>
    <w:rsid w:val="007E3EE1"/>
    <w:rsid w:val="007F44C1"/>
    <w:rsid w:val="007F6AA0"/>
    <w:rsid w:val="00814184"/>
    <w:rsid w:val="008D1C36"/>
    <w:rsid w:val="008E7A0D"/>
    <w:rsid w:val="008F38FB"/>
    <w:rsid w:val="00916D82"/>
    <w:rsid w:val="00927055"/>
    <w:rsid w:val="00934FD5"/>
    <w:rsid w:val="009A6C5D"/>
    <w:rsid w:val="009B59D3"/>
    <w:rsid w:val="009F5497"/>
    <w:rsid w:val="00A0774A"/>
    <w:rsid w:val="00A1290D"/>
    <w:rsid w:val="00A22DDB"/>
    <w:rsid w:val="00A60207"/>
    <w:rsid w:val="00A611B9"/>
    <w:rsid w:val="00AA7ED4"/>
    <w:rsid w:val="00AB1650"/>
    <w:rsid w:val="00AD441D"/>
    <w:rsid w:val="00B1786E"/>
    <w:rsid w:val="00B24943"/>
    <w:rsid w:val="00B47C64"/>
    <w:rsid w:val="00B64324"/>
    <w:rsid w:val="00B82162"/>
    <w:rsid w:val="00B83999"/>
    <w:rsid w:val="00BA5A54"/>
    <w:rsid w:val="00C37ECF"/>
    <w:rsid w:val="00C67C55"/>
    <w:rsid w:val="00CA71B6"/>
    <w:rsid w:val="00CA7C90"/>
    <w:rsid w:val="00CC7A80"/>
    <w:rsid w:val="00CF16BF"/>
    <w:rsid w:val="00D100BE"/>
    <w:rsid w:val="00D36BB6"/>
    <w:rsid w:val="00D40FF6"/>
    <w:rsid w:val="00D745E1"/>
    <w:rsid w:val="00D77F6A"/>
    <w:rsid w:val="00DF0FF9"/>
    <w:rsid w:val="00E02750"/>
    <w:rsid w:val="00E5099F"/>
    <w:rsid w:val="00E7205C"/>
    <w:rsid w:val="00E92D7A"/>
    <w:rsid w:val="00EA1297"/>
    <w:rsid w:val="00EE5A08"/>
    <w:rsid w:val="00EE7B2E"/>
    <w:rsid w:val="00EF5F71"/>
    <w:rsid w:val="00F036C3"/>
    <w:rsid w:val="00F31CEC"/>
    <w:rsid w:val="00F437B4"/>
    <w:rsid w:val="00F50A46"/>
    <w:rsid w:val="00F55DC4"/>
    <w:rsid w:val="00F628BA"/>
    <w:rsid w:val="00F6741C"/>
    <w:rsid w:val="00FC3C5D"/>
    <w:rsid w:val="00FD0019"/>
    <w:rsid w:val="00FE0A3D"/>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91FC6A"/>
  <w15:docId w15:val="{E6816685-8BC8-47A5-BB0F-D7B96A75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FC6"/>
    <w:pPr>
      <w:ind w:left="720"/>
      <w:contextualSpacing/>
    </w:pPr>
  </w:style>
  <w:style w:type="paragraph" w:styleId="BalloonText">
    <w:name w:val="Balloon Text"/>
    <w:basedOn w:val="Normal"/>
    <w:link w:val="BalloonTextChar"/>
    <w:semiHidden/>
    <w:unhideWhenUsed/>
    <w:rsid w:val="00C67C55"/>
    <w:rPr>
      <w:rFonts w:ascii="Segoe UI" w:hAnsi="Segoe UI" w:cs="Segoe UI"/>
      <w:sz w:val="18"/>
      <w:szCs w:val="18"/>
    </w:rPr>
  </w:style>
  <w:style w:type="character" w:customStyle="1" w:styleId="BalloonTextChar">
    <w:name w:val="Balloon Text Char"/>
    <w:basedOn w:val="DefaultParagraphFont"/>
    <w:link w:val="BalloonText"/>
    <w:semiHidden/>
    <w:rsid w:val="00C67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2011</Words>
  <Characters>11345</Characters>
  <Application>Microsoft Office Word</Application>
  <DocSecurity>0</DocSecurity>
  <Lines>210</Lines>
  <Paragraphs>142</Paragraphs>
  <ScaleCrop>false</ScaleCrop>
  <HeadingPairs>
    <vt:vector size="2" baseType="variant">
      <vt:variant>
        <vt:lpstr>Title</vt:lpstr>
      </vt:variant>
      <vt:variant>
        <vt:i4>1</vt:i4>
      </vt:variant>
    </vt:vector>
  </HeadingPairs>
  <TitlesOfParts>
    <vt:vector size="1" baseType="lpstr">
      <vt:lpstr>Informed Consent for Medication, Serzone</vt:lpstr>
    </vt:vector>
  </TitlesOfParts>
  <Manager>Client Rights</Manager>
  <Company>All DHS</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Serzone</dc:title>
  <dc:creator>WI DHS</dc:creator>
  <cp:keywords>f24277, dde4277, dctf4277, informed consent, medication</cp:keywords>
  <cp:lastModifiedBy>Smith, Hilary J - DHS</cp:lastModifiedBy>
  <cp:revision>3</cp:revision>
  <cp:lastPrinted>2020-08-25T17:09:00Z</cp:lastPrinted>
  <dcterms:created xsi:type="dcterms:W3CDTF">2024-05-06T15:52:00Z</dcterms:created>
  <dcterms:modified xsi:type="dcterms:W3CDTF">2024-05-06T15:52:00Z</dcterms:modified>
</cp:coreProperties>
</file>