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4178F4BF" w14:textId="77777777">
        <w:tc>
          <w:tcPr>
            <w:tcW w:w="5868" w:type="dxa"/>
            <w:tcBorders>
              <w:top w:val="nil"/>
              <w:left w:val="nil"/>
              <w:bottom w:val="nil"/>
              <w:right w:val="nil"/>
            </w:tcBorders>
          </w:tcPr>
          <w:p w14:paraId="2498D966" w14:textId="77777777" w:rsidR="003379BD" w:rsidRPr="004553BF" w:rsidRDefault="003379BD">
            <w:pPr>
              <w:pStyle w:val="Heading1"/>
            </w:pPr>
            <w:r w:rsidRPr="004553BF">
              <w:t>DEPARTMENT OF HEALTH SERVICES</w:t>
            </w:r>
          </w:p>
          <w:p w14:paraId="16D8E829"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A4F3906" w14:textId="61CB5A39"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A14883">
              <w:rPr>
                <w:rFonts w:ascii="Arial" w:hAnsi="Arial"/>
                <w:sz w:val="18"/>
              </w:rPr>
              <w:t>5</w:t>
            </w:r>
            <w:r w:rsidR="00017A46">
              <w:rPr>
                <w:rFonts w:ascii="Arial" w:hAnsi="Arial"/>
                <w:sz w:val="18"/>
              </w:rPr>
              <w:t>/20</w:t>
            </w:r>
            <w:r w:rsidR="00A14883">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C4B63A2"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233A307E" w14:textId="77777777" w:rsidR="003379BD" w:rsidRPr="004553BF" w:rsidRDefault="003379BD">
            <w:pPr>
              <w:jc w:val="right"/>
              <w:rPr>
                <w:rFonts w:ascii="Arial" w:hAnsi="Arial"/>
                <w:sz w:val="18"/>
              </w:rPr>
            </w:pPr>
            <w:r w:rsidRPr="004553BF">
              <w:rPr>
                <w:rFonts w:ascii="Arial" w:hAnsi="Arial"/>
                <w:sz w:val="18"/>
              </w:rPr>
              <w:t>42 CFR483.420(a)(2)</w:t>
            </w:r>
          </w:p>
          <w:p w14:paraId="0A632852"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190E7D66"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5BED80F4"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585210A3"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0327B36C" w14:textId="77777777">
        <w:trPr>
          <w:cantSplit/>
        </w:trPr>
        <w:tc>
          <w:tcPr>
            <w:tcW w:w="11448" w:type="dxa"/>
            <w:gridSpan w:val="10"/>
            <w:tcBorders>
              <w:top w:val="nil"/>
              <w:left w:val="nil"/>
              <w:bottom w:val="single" w:sz="4" w:space="0" w:color="auto"/>
              <w:right w:val="nil"/>
            </w:tcBorders>
          </w:tcPr>
          <w:p w14:paraId="5F552178" w14:textId="77777777" w:rsidR="003379BD" w:rsidRDefault="003379BD" w:rsidP="0031599E">
            <w:pPr>
              <w:pStyle w:val="Heading3"/>
            </w:pPr>
            <w:r>
              <w:t>INFORMED CONSENT FOR MEDICATION</w:t>
            </w:r>
          </w:p>
          <w:p w14:paraId="5FF1D3C8" w14:textId="77777777" w:rsidR="00464819" w:rsidRDefault="00464819" w:rsidP="00F8797B">
            <w:pPr>
              <w:pStyle w:val="Heading4"/>
            </w:pPr>
            <w:r>
              <w:t xml:space="preserve">Dosage and / or Side Effect information last revised on </w:t>
            </w:r>
            <w:r w:rsidR="00F8797B">
              <w:rPr>
                <w:noProof/>
              </w:rPr>
              <w:t>08/09/2018</w:t>
            </w:r>
          </w:p>
          <w:p w14:paraId="5B567BAB" w14:textId="043BF05B"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A14883">
              <w:rPr>
                <w:rFonts w:ascii="Arial" w:hAnsi="Arial"/>
                <w:sz w:val="18"/>
              </w:rPr>
              <w:t>informed consent is not given</w:t>
            </w:r>
            <w:r>
              <w:rPr>
                <w:rFonts w:ascii="Arial" w:hAnsi="Arial"/>
                <w:sz w:val="18"/>
              </w:rPr>
              <w:t>, the medication cannot be administered without a court order unless in an emergency.</w:t>
            </w:r>
          </w:p>
          <w:p w14:paraId="1FD32B0F"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70519CB1" w14:textId="77777777">
        <w:trPr>
          <w:trHeight w:hRule="exact" w:val="480"/>
        </w:trPr>
        <w:tc>
          <w:tcPr>
            <w:tcW w:w="5868" w:type="dxa"/>
            <w:gridSpan w:val="5"/>
            <w:tcBorders>
              <w:top w:val="single" w:sz="4" w:space="0" w:color="auto"/>
              <w:left w:val="nil"/>
              <w:bottom w:val="single" w:sz="4" w:space="0" w:color="auto"/>
            </w:tcBorders>
          </w:tcPr>
          <w:p w14:paraId="251AE8F6" w14:textId="77777777" w:rsidR="003379BD" w:rsidRDefault="003379BD">
            <w:pPr>
              <w:rPr>
                <w:rFonts w:ascii="Arial" w:hAnsi="Arial"/>
                <w:sz w:val="18"/>
              </w:rPr>
            </w:pPr>
            <w:r>
              <w:rPr>
                <w:rFonts w:ascii="Arial" w:hAnsi="Arial"/>
                <w:sz w:val="18"/>
              </w:rPr>
              <w:t>Name – Patient / Client (Last, First MI)</w:t>
            </w:r>
          </w:p>
          <w:p w14:paraId="1467FE16"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748B5EDE" w14:textId="77777777" w:rsidR="003379BD" w:rsidRDefault="003379BD">
            <w:pPr>
              <w:rPr>
                <w:rFonts w:ascii="Arial" w:hAnsi="Arial"/>
                <w:sz w:val="18"/>
              </w:rPr>
            </w:pPr>
            <w:r>
              <w:rPr>
                <w:rFonts w:ascii="Arial" w:hAnsi="Arial"/>
                <w:sz w:val="18"/>
              </w:rPr>
              <w:t>ID Number</w:t>
            </w:r>
          </w:p>
          <w:p w14:paraId="21C3526D"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5D3DE91A" w14:textId="77777777" w:rsidR="003379BD" w:rsidRDefault="003379BD">
            <w:pPr>
              <w:rPr>
                <w:rFonts w:ascii="Arial" w:hAnsi="Arial"/>
                <w:sz w:val="18"/>
              </w:rPr>
            </w:pPr>
            <w:r>
              <w:rPr>
                <w:rFonts w:ascii="Arial" w:hAnsi="Arial"/>
                <w:sz w:val="18"/>
              </w:rPr>
              <w:t>Living Unit</w:t>
            </w:r>
          </w:p>
          <w:p w14:paraId="2B246B8E"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2F3EE9A6" w14:textId="77777777" w:rsidR="003379BD" w:rsidRDefault="006B7A42">
            <w:pPr>
              <w:rPr>
                <w:rFonts w:ascii="Arial" w:hAnsi="Arial"/>
                <w:sz w:val="18"/>
              </w:rPr>
            </w:pPr>
            <w:r>
              <w:rPr>
                <w:rFonts w:ascii="Arial" w:hAnsi="Arial"/>
                <w:sz w:val="18"/>
              </w:rPr>
              <w:t>Date of Birth</w:t>
            </w:r>
          </w:p>
          <w:p w14:paraId="1B964E96"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2E8E7160" w14:textId="77777777">
        <w:trPr>
          <w:cantSplit/>
        </w:trPr>
        <w:tc>
          <w:tcPr>
            <w:tcW w:w="4338" w:type="dxa"/>
            <w:gridSpan w:val="3"/>
            <w:tcBorders>
              <w:top w:val="single" w:sz="4" w:space="0" w:color="auto"/>
              <w:left w:val="nil"/>
              <w:bottom w:val="single" w:sz="4" w:space="0" w:color="auto"/>
            </w:tcBorders>
          </w:tcPr>
          <w:p w14:paraId="05F52818" w14:textId="77777777" w:rsidR="003379BD" w:rsidRDefault="003379BD">
            <w:pPr>
              <w:rPr>
                <w:rFonts w:ascii="Arial" w:hAnsi="Arial"/>
                <w:sz w:val="18"/>
              </w:rPr>
            </w:pPr>
            <w:r>
              <w:rPr>
                <w:rFonts w:ascii="Arial" w:hAnsi="Arial"/>
                <w:sz w:val="18"/>
              </w:rPr>
              <w:t>Name – Individual Preparing This Form</w:t>
            </w:r>
          </w:p>
          <w:p w14:paraId="290FC283"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5CA5F25B" w14:textId="77777777" w:rsidR="003379BD" w:rsidRDefault="003379BD">
            <w:pPr>
              <w:rPr>
                <w:rFonts w:ascii="Arial" w:hAnsi="Arial"/>
                <w:sz w:val="18"/>
              </w:rPr>
            </w:pPr>
            <w:r>
              <w:rPr>
                <w:rFonts w:ascii="Arial" w:hAnsi="Arial"/>
                <w:sz w:val="18"/>
              </w:rPr>
              <w:t>Name – Staff Contact</w:t>
            </w:r>
          </w:p>
          <w:p w14:paraId="654F73EF"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41F80BA" w14:textId="77777777" w:rsidR="003379BD" w:rsidRDefault="003379BD">
            <w:pPr>
              <w:rPr>
                <w:rFonts w:ascii="Arial" w:hAnsi="Arial"/>
                <w:sz w:val="18"/>
              </w:rPr>
            </w:pPr>
            <w:r>
              <w:rPr>
                <w:rFonts w:ascii="Arial" w:hAnsi="Arial"/>
                <w:sz w:val="18"/>
              </w:rPr>
              <w:t>Name / Telephone Number – Institution</w:t>
            </w:r>
          </w:p>
          <w:p w14:paraId="379A1E70"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7C3875F1" w14:textId="77777777" w:rsidTr="00DF0FF9">
        <w:trPr>
          <w:cantSplit/>
        </w:trPr>
        <w:tc>
          <w:tcPr>
            <w:tcW w:w="3168" w:type="dxa"/>
            <w:tcBorders>
              <w:top w:val="single" w:sz="4" w:space="0" w:color="auto"/>
              <w:left w:val="nil"/>
              <w:bottom w:val="nil"/>
            </w:tcBorders>
            <w:vAlign w:val="center"/>
          </w:tcPr>
          <w:p w14:paraId="29A03CAE"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034499A9"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79C78F94" w14:textId="77777777" w:rsidR="003379BD" w:rsidRDefault="003379BD" w:rsidP="00DF0FF9">
            <w:pPr>
              <w:pStyle w:val="Heading4"/>
              <w:spacing w:before="0"/>
            </w:pPr>
            <w:r>
              <w:t>RECOMMENDED</w:t>
            </w:r>
          </w:p>
          <w:p w14:paraId="77DC20E4"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2E6D2F9" w14:textId="77777777" w:rsidR="003379BD" w:rsidRDefault="003379BD" w:rsidP="00DF0FF9">
            <w:pPr>
              <w:pStyle w:val="Heading4"/>
              <w:spacing w:before="0"/>
              <w:rPr>
                <w:b w:val="0"/>
              </w:rPr>
            </w:pPr>
            <w:r>
              <w:t>ANTICIPATED</w:t>
            </w:r>
            <w:r w:rsidR="00DF0FF9">
              <w:t xml:space="preserve"> </w:t>
            </w:r>
            <w:r>
              <w:t>DOSAGE RANGE</w:t>
            </w:r>
          </w:p>
        </w:tc>
      </w:tr>
      <w:tr w:rsidR="00BE0E33" w14:paraId="3B18A711" w14:textId="77777777" w:rsidTr="00D964C7">
        <w:trPr>
          <w:cantSplit/>
        </w:trPr>
        <w:tc>
          <w:tcPr>
            <w:tcW w:w="3168" w:type="dxa"/>
            <w:tcBorders>
              <w:top w:val="single" w:sz="4" w:space="0" w:color="auto"/>
              <w:left w:val="nil"/>
              <w:bottom w:val="single" w:sz="4" w:space="0" w:color="auto"/>
            </w:tcBorders>
          </w:tcPr>
          <w:p w14:paraId="1D119670" w14:textId="77777777" w:rsidR="00BE0E33" w:rsidRDefault="00BE0E33" w:rsidP="00D964C7">
            <w:pPr>
              <w:spacing w:before="60"/>
              <w:rPr>
                <w:sz w:val="22"/>
              </w:rPr>
            </w:pPr>
            <w:r w:rsidRPr="00F125E2">
              <w:rPr>
                <w:noProof/>
                <w:sz w:val="22"/>
              </w:rPr>
              <w:t xml:space="preserve">Anticonvulsant / Mood Stabilizing Agent  </w:t>
            </w:r>
          </w:p>
        </w:tc>
        <w:tc>
          <w:tcPr>
            <w:tcW w:w="3420" w:type="dxa"/>
            <w:gridSpan w:val="5"/>
            <w:tcBorders>
              <w:top w:val="single" w:sz="4" w:space="0" w:color="auto"/>
              <w:bottom w:val="single" w:sz="4" w:space="0" w:color="auto"/>
              <w:right w:val="nil"/>
            </w:tcBorders>
          </w:tcPr>
          <w:p w14:paraId="46C51224" w14:textId="77777777" w:rsidR="00BE0E33" w:rsidRDefault="00BE0E33" w:rsidP="00D964C7">
            <w:pPr>
              <w:tabs>
                <w:tab w:val="left" w:pos="702"/>
                <w:tab w:val="left" w:pos="882"/>
                <w:tab w:val="left" w:pos="1152"/>
                <w:tab w:val="left" w:pos="1602"/>
              </w:tabs>
              <w:rPr>
                <w:sz w:val="22"/>
              </w:rPr>
            </w:pPr>
            <w:r w:rsidRPr="00F125E2">
              <w:rPr>
                <w:noProof/>
                <w:sz w:val="22"/>
              </w:rPr>
              <w:t>Tegretol</w:t>
            </w:r>
          </w:p>
          <w:p w14:paraId="1155C58C" w14:textId="77777777" w:rsidR="00BE0E33" w:rsidRDefault="00BE0E33" w:rsidP="00D964C7">
            <w:pPr>
              <w:tabs>
                <w:tab w:val="left" w:pos="702"/>
                <w:tab w:val="left" w:pos="882"/>
                <w:tab w:val="left" w:pos="1152"/>
                <w:tab w:val="left" w:pos="1602"/>
              </w:tabs>
              <w:rPr>
                <w:sz w:val="22"/>
              </w:rPr>
            </w:pPr>
            <w:r>
              <w:rPr>
                <w:sz w:val="22"/>
              </w:rPr>
              <w:t>(</w:t>
            </w:r>
            <w:r w:rsidRPr="00F125E2">
              <w:rPr>
                <w:noProof/>
                <w:sz w:val="22"/>
              </w:rPr>
              <w:t>carbamazepine</w:t>
            </w:r>
            <w:r>
              <w:rPr>
                <w:sz w:val="22"/>
              </w:rPr>
              <w:t>)</w:t>
            </w:r>
          </w:p>
        </w:tc>
        <w:tc>
          <w:tcPr>
            <w:tcW w:w="3420" w:type="dxa"/>
            <w:gridSpan w:val="3"/>
            <w:tcBorders>
              <w:top w:val="single" w:sz="4" w:space="0" w:color="auto"/>
              <w:bottom w:val="single" w:sz="4" w:space="0" w:color="auto"/>
              <w:right w:val="nil"/>
            </w:tcBorders>
            <w:vAlign w:val="center"/>
          </w:tcPr>
          <w:p w14:paraId="228856DD" w14:textId="77777777" w:rsidR="00BE0E33" w:rsidRDefault="00BE0E33" w:rsidP="00D964C7">
            <w:pPr>
              <w:tabs>
                <w:tab w:val="left" w:pos="702"/>
                <w:tab w:val="left" w:pos="882"/>
                <w:tab w:val="left" w:pos="1152"/>
                <w:tab w:val="left" w:pos="1602"/>
              </w:tabs>
              <w:rPr>
                <w:sz w:val="22"/>
              </w:rPr>
            </w:pPr>
            <w:r>
              <w:rPr>
                <w:noProof/>
                <w:sz w:val="22"/>
              </w:rPr>
              <w:t>200mg –1600mg/day maximum</w:t>
            </w:r>
            <w:r>
              <w:rPr>
                <w:noProof/>
                <w:sz w:val="22"/>
              </w:rPr>
              <w:br/>
              <w:t>May dose</w:t>
            </w:r>
            <w:r w:rsidRPr="00F125E2">
              <w:rPr>
                <w:noProof/>
                <w:sz w:val="22"/>
              </w:rPr>
              <w:t xml:space="preserve"> according to blood level</w:t>
            </w:r>
            <w:r>
              <w:rPr>
                <w:noProof/>
                <w:sz w:val="22"/>
              </w:rPr>
              <w:t>s</w:t>
            </w:r>
            <w:r w:rsidRPr="00F125E2">
              <w:rPr>
                <w:noProof/>
                <w:sz w:val="22"/>
              </w:rPr>
              <w:t>.</w:t>
            </w:r>
          </w:p>
        </w:tc>
        <w:tc>
          <w:tcPr>
            <w:tcW w:w="1440" w:type="dxa"/>
            <w:tcBorders>
              <w:top w:val="single" w:sz="4" w:space="0" w:color="auto"/>
              <w:bottom w:val="single" w:sz="4" w:space="0" w:color="auto"/>
              <w:right w:val="nil"/>
            </w:tcBorders>
            <w:vAlign w:val="center"/>
          </w:tcPr>
          <w:p w14:paraId="63792F4E" w14:textId="77777777" w:rsidR="00BE0E33" w:rsidRDefault="00BE0E33"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25B8C825" w14:textId="77777777">
        <w:trPr>
          <w:cantSplit/>
          <w:trHeight w:hRule="exact" w:val="1200"/>
        </w:trPr>
        <w:tc>
          <w:tcPr>
            <w:tcW w:w="11448" w:type="dxa"/>
            <w:gridSpan w:val="10"/>
            <w:tcBorders>
              <w:top w:val="nil"/>
              <w:left w:val="nil"/>
              <w:bottom w:val="single" w:sz="4" w:space="0" w:color="auto"/>
              <w:right w:val="nil"/>
            </w:tcBorders>
          </w:tcPr>
          <w:p w14:paraId="3BCE07F3"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A13C7C5"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13E3D03F"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67FB0">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67FB0">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67FB0">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6C030607" w14:textId="77777777">
        <w:trPr>
          <w:cantSplit/>
          <w:trHeight w:hRule="exact" w:val="600"/>
        </w:trPr>
        <w:tc>
          <w:tcPr>
            <w:tcW w:w="11448" w:type="dxa"/>
            <w:gridSpan w:val="10"/>
            <w:tcBorders>
              <w:top w:val="single" w:sz="4" w:space="0" w:color="auto"/>
              <w:left w:val="nil"/>
              <w:bottom w:val="nil"/>
              <w:right w:val="nil"/>
            </w:tcBorders>
          </w:tcPr>
          <w:p w14:paraId="3CE30351" w14:textId="6CE95C4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A14883">
              <w:rPr>
                <w:b w:val="0"/>
              </w:rPr>
              <w:t>impression (</w:t>
            </w:r>
            <w:r w:rsidRPr="00097390">
              <w:rPr>
                <w:b w:val="0"/>
              </w:rPr>
              <w:t>“working hypothesis</w:t>
            </w:r>
            <w:r w:rsidR="0031599E" w:rsidRPr="00097390">
              <w:rPr>
                <w:b w:val="0"/>
              </w:rPr>
              <w:t>.”</w:t>
            </w:r>
            <w:r w:rsidR="00A14883">
              <w:rPr>
                <w:b w:val="0"/>
              </w:rPr>
              <w:t>)</w:t>
            </w:r>
          </w:p>
        </w:tc>
      </w:tr>
      <w:tr w:rsidR="003379BD" w14:paraId="04AF130B" w14:textId="77777777" w:rsidTr="00A14883">
        <w:trPr>
          <w:cantSplit/>
          <w:trHeight w:val="1008"/>
        </w:trPr>
        <w:tc>
          <w:tcPr>
            <w:tcW w:w="11448" w:type="dxa"/>
            <w:gridSpan w:val="10"/>
            <w:tcBorders>
              <w:top w:val="nil"/>
              <w:left w:val="nil"/>
              <w:bottom w:val="single" w:sz="4" w:space="0" w:color="auto"/>
              <w:right w:val="nil"/>
            </w:tcBorders>
          </w:tcPr>
          <w:p w14:paraId="4B0B1EF2"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2B1F5E1B" w14:textId="77777777">
        <w:trPr>
          <w:cantSplit/>
          <w:trHeight w:val="240"/>
        </w:trPr>
        <w:tc>
          <w:tcPr>
            <w:tcW w:w="11448" w:type="dxa"/>
            <w:gridSpan w:val="10"/>
            <w:tcBorders>
              <w:top w:val="single" w:sz="4" w:space="0" w:color="auto"/>
              <w:left w:val="nil"/>
              <w:bottom w:val="nil"/>
              <w:right w:val="nil"/>
            </w:tcBorders>
          </w:tcPr>
          <w:p w14:paraId="4B7A3A67"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9CF7BAB" w14:textId="77777777">
        <w:trPr>
          <w:cantSplit/>
          <w:trHeight w:val="240"/>
        </w:trPr>
        <w:tc>
          <w:tcPr>
            <w:tcW w:w="5724" w:type="dxa"/>
            <w:gridSpan w:val="4"/>
            <w:tcBorders>
              <w:top w:val="nil"/>
              <w:left w:val="nil"/>
              <w:bottom w:val="nil"/>
              <w:right w:val="nil"/>
            </w:tcBorders>
            <w:vAlign w:val="center"/>
          </w:tcPr>
          <w:p w14:paraId="6D69FFB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967FB0">
              <w:rPr>
                <w:rFonts w:ascii="Arial" w:hAnsi="Arial"/>
                <w:sz w:val="18"/>
              </w:rPr>
            </w:r>
            <w:r w:rsidR="00967FB0">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1684A58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967FB0">
              <w:rPr>
                <w:rFonts w:ascii="Arial" w:hAnsi="Arial"/>
                <w:sz w:val="18"/>
              </w:rPr>
            </w:r>
            <w:r w:rsidR="00967FB0">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5B92782" w14:textId="77777777">
        <w:trPr>
          <w:cantSplit/>
          <w:trHeight w:val="240"/>
        </w:trPr>
        <w:tc>
          <w:tcPr>
            <w:tcW w:w="5724" w:type="dxa"/>
            <w:gridSpan w:val="4"/>
            <w:tcBorders>
              <w:top w:val="nil"/>
              <w:left w:val="nil"/>
              <w:bottom w:val="nil"/>
              <w:right w:val="nil"/>
            </w:tcBorders>
            <w:vAlign w:val="center"/>
          </w:tcPr>
          <w:p w14:paraId="27C8357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967FB0">
              <w:rPr>
                <w:rFonts w:ascii="Arial" w:hAnsi="Arial"/>
                <w:sz w:val="18"/>
              </w:rPr>
            </w:r>
            <w:r w:rsidR="00967FB0">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46B8419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967FB0">
              <w:rPr>
                <w:rFonts w:ascii="Arial" w:hAnsi="Arial"/>
                <w:sz w:val="18"/>
              </w:rPr>
            </w:r>
            <w:r w:rsidR="00967FB0">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44E9DCDC" w14:textId="77777777">
        <w:trPr>
          <w:cantSplit/>
          <w:trHeight w:val="240"/>
        </w:trPr>
        <w:tc>
          <w:tcPr>
            <w:tcW w:w="5724" w:type="dxa"/>
            <w:gridSpan w:val="4"/>
            <w:tcBorders>
              <w:top w:val="nil"/>
              <w:left w:val="nil"/>
              <w:bottom w:val="nil"/>
              <w:right w:val="nil"/>
            </w:tcBorders>
            <w:vAlign w:val="center"/>
          </w:tcPr>
          <w:p w14:paraId="4B2D5E0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967FB0">
              <w:rPr>
                <w:rFonts w:ascii="Arial" w:hAnsi="Arial"/>
                <w:sz w:val="18"/>
              </w:rPr>
            </w:r>
            <w:r w:rsidR="00967FB0">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267DD89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967FB0">
              <w:rPr>
                <w:rFonts w:ascii="Arial" w:hAnsi="Arial"/>
                <w:sz w:val="18"/>
              </w:rPr>
            </w:r>
            <w:r w:rsidR="00967FB0">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3062C20E" w14:textId="77777777" w:rsidTr="00A14883">
        <w:trPr>
          <w:cantSplit/>
          <w:trHeight w:val="1008"/>
        </w:trPr>
        <w:tc>
          <w:tcPr>
            <w:tcW w:w="11448" w:type="dxa"/>
            <w:gridSpan w:val="10"/>
            <w:tcBorders>
              <w:top w:val="nil"/>
              <w:left w:val="nil"/>
              <w:bottom w:val="nil"/>
              <w:right w:val="nil"/>
            </w:tcBorders>
          </w:tcPr>
          <w:p w14:paraId="5ACAC7E0"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495A93C8" w14:textId="77777777">
        <w:trPr>
          <w:cantSplit/>
          <w:trHeight w:hRule="exact" w:val="240"/>
        </w:trPr>
        <w:tc>
          <w:tcPr>
            <w:tcW w:w="11448" w:type="dxa"/>
            <w:gridSpan w:val="10"/>
            <w:tcBorders>
              <w:top w:val="nil"/>
              <w:left w:val="nil"/>
              <w:bottom w:val="single" w:sz="4" w:space="0" w:color="auto"/>
              <w:right w:val="nil"/>
            </w:tcBorders>
          </w:tcPr>
          <w:p w14:paraId="57BB5938" w14:textId="77777777" w:rsidR="003379BD" w:rsidRDefault="003379BD">
            <w:pPr>
              <w:pStyle w:val="Heading4"/>
              <w:tabs>
                <w:tab w:val="left" w:pos="540"/>
              </w:tabs>
              <w:spacing w:before="0"/>
              <w:jc w:val="left"/>
            </w:pPr>
          </w:p>
        </w:tc>
      </w:tr>
      <w:tr w:rsidR="003379BD" w14:paraId="79E01EE6" w14:textId="77777777">
        <w:trPr>
          <w:cantSplit/>
          <w:trHeight w:hRule="exact" w:val="240"/>
        </w:trPr>
        <w:tc>
          <w:tcPr>
            <w:tcW w:w="11448" w:type="dxa"/>
            <w:gridSpan w:val="10"/>
            <w:tcBorders>
              <w:top w:val="nil"/>
              <w:left w:val="nil"/>
              <w:bottom w:val="nil"/>
              <w:right w:val="nil"/>
            </w:tcBorders>
          </w:tcPr>
          <w:p w14:paraId="32E442B6"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1529913" w14:textId="77777777" w:rsidTr="00934FD5">
        <w:trPr>
          <w:cantSplit/>
          <w:trHeight w:val="288"/>
        </w:trPr>
        <w:tc>
          <w:tcPr>
            <w:tcW w:w="3816" w:type="dxa"/>
            <w:gridSpan w:val="2"/>
            <w:tcBorders>
              <w:top w:val="nil"/>
              <w:left w:val="nil"/>
              <w:bottom w:val="nil"/>
              <w:right w:val="nil"/>
            </w:tcBorders>
            <w:vAlign w:val="center"/>
          </w:tcPr>
          <w:p w14:paraId="260E5524"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967FB0">
              <w:rPr>
                <w:b w:val="0"/>
              </w:rPr>
            </w:r>
            <w:r w:rsidR="00967FB0">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0EE51C06"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67FB0">
              <w:rPr>
                <w:b w:val="0"/>
              </w:rPr>
            </w:r>
            <w:r w:rsidR="00967FB0">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0670D2C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67FB0">
              <w:rPr>
                <w:b w:val="0"/>
              </w:rPr>
            </w:r>
            <w:r w:rsidR="00967FB0">
              <w:rPr>
                <w:b w:val="0"/>
              </w:rPr>
              <w:fldChar w:fldCharType="separate"/>
            </w:r>
            <w:r>
              <w:rPr>
                <w:b w:val="0"/>
              </w:rPr>
              <w:fldChar w:fldCharType="end"/>
            </w:r>
            <w:bookmarkEnd w:id="19"/>
            <w:r>
              <w:rPr>
                <w:b w:val="0"/>
              </w:rPr>
              <w:t xml:space="preserve"> Social Functioning</w:t>
            </w:r>
          </w:p>
        </w:tc>
      </w:tr>
      <w:tr w:rsidR="003379BD" w14:paraId="23020E2A" w14:textId="77777777">
        <w:trPr>
          <w:cantSplit/>
          <w:trHeight w:val="240"/>
        </w:trPr>
        <w:tc>
          <w:tcPr>
            <w:tcW w:w="3816" w:type="dxa"/>
            <w:gridSpan w:val="2"/>
            <w:tcBorders>
              <w:top w:val="nil"/>
              <w:left w:val="nil"/>
              <w:bottom w:val="nil"/>
              <w:right w:val="nil"/>
            </w:tcBorders>
          </w:tcPr>
          <w:p w14:paraId="48C728A5"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1B6F2B5E"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2DF7E6E" w14:textId="77777777" w:rsidR="003379BD" w:rsidRDefault="003379BD">
            <w:pPr>
              <w:pStyle w:val="Heading4"/>
              <w:tabs>
                <w:tab w:val="left" w:pos="540"/>
              </w:tabs>
              <w:jc w:val="left"/>
              <w:rPr>
                <w:b w:val="0"/>
              </w:rPr>
            </w:pPr>
          </w:p>
        </w:tc>
      </w:tr>
      <w:tr w:rsidR="003379BD" w14:paraId="58A5E9B3" w14:textId="77777777">
        <w:trPr>
          <w:cantSplit/>
          <w:trHeight w:val="192"/>
        </w:trPr>
        <w:tc>
          <w:tcPr>
            <w:tcW w:w="5724" w:type="dxa"/>
            <w:gridSpan w:val="4"/>
            <w:tcBorders>
              <w:top w:val="nil"/>
              <w:left w:val="nil"/>
              <w:bottom w:val="nil"/>
              <w:right w:val="nil"/>
            </w:tcBorders>
          </w:tcPr>
          <w:p w14:paraId="20E630AF"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9E671BB" w14:textId="77777777" w:rsidR="003379BD" w:rsidRDefault="003379BD">
            <w:pPr>
              <w:pStyle w:val="Heading4"/>
              <w:tabs>
                <w:tab w:val="left" w:pos="540"/>
              </w:tabs>
              <w:jc w:val="left"/>
              <w:rPr>
                <w:b w:val="0"/>
              </w:rPr>
            </w:pPr>
          </w:p>
        </w:tc>
      </w:tr>
      <w:bookmarkStart w:id="20" w:name="_Hlk151783589"/>
      <w:tr w:rsidR="003379BD" w14:paraId="1A5EB328" w14:textId="77777777">
        <w:trPr>
          <w:cantSplit/>
          <w:trHeight w:val="192"/>
        </w:trPr>
        <w:tc>
          <w:tcPr>
            <w:tcW w:w="5724" w:type="dxa"/>
            <w:gridSpan w:val="4"/>
            <w:tcBorders>
              <w:top w:val="nil"/>
              <w:left w:val="nil"/>
              <w:bottom w:val="nil"/>
              <w:right w:val="nil"/>
            </w:tcBorders>
            <w:vAlign w:val="center"/>
          </w:tcPr>
          <w:p w14:paraId="70035EE7"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967FB0">
              <w:rPr>
                <w:b w:val="0"/>
              </w:rPr>
            </w:r>
            <w:r w:rsidR="00967FB0">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4C5CACD1"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967FB0">
              <w:rPr>
                <w:b w:val="0"/>
              </w:rPr>
            </w:r>
            <w:r w:rsidR="00967FB0">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38F34140" w14:textId="77777777">
        <w:trPr>
          <w:cantSplit/>
          <w:trHeight w:val="192"/>
        </w:trPr>
        <w:tc>
          <w:tcPr>
            <w:tcW w:w="5724" w:type="dxa"/>
            <w:gridSpan w:val="4"/>
            <w:tcBorders>
              <w:top w:val="nil"/>
              <w:left w:val="nil"/>
              <w:bottom w:val="nil"/>
              <w:right w:val="nil"/>
            </w:tcBorders>
            <w:vAlign w:val="center"/>
          </w:tcPr>
          <w:p w14:paraId="3E0BC838"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967FB0">
              <w:rPr>
                <w:b w:val="0"/>
              </w:rPr>
            </w:r>
            <w:r w:rsidR="00967FB0">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50CD925"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967FB0">
              <w:rPr>
                <w:b w:val="0"/>
              </w:rPr>
            </w:r>
            <w:r w:rsidR="00967FB0">
              <w:rPr>
                <w:b w:val="0"/>
              </w:rPr>
              <w:fldChar w:fldCharType="separate"/>
            </w:r>
            <w:r>
              <w:rPr>
                <w:b w:val="0"/>
              </w:rPr>
              <w:fldChar w:fldCharType="end"/>
            </w:r>
            <w:bookmarkEnd w:id="24"/>
            <w:r>
              <w:rPr>
                <w:b w:val="0"/>
              </w:rPr>
              <w:t xml:space="preserve"> Intervention of law enforcement authorities</w:t>
            </w:r>
          </w:p>
        </w:tc>
      </w:tr>
      <w:tr w:rsidR="003379BD" w14:paraId="1486C1DE" w14:textId="77777777">
        <w:trPr>
          <w:cantSplit/>
          <w:trHeight w:val="192"/>
        </w:trPr>
        <w:tc>
          <w:tcPr>
            <w:tcW w:w="5724" w:type="dxa"/>
            <w:gridSpan w:val="4"/>
            <w:tcBorders>
              <w:top w:val="nil"/>
              <w:left w:val="nil"/>
              <w:bottom w:val="nil"/>
              <w:right w:val="nil"/>
            </w:tcBorders>
            <w:vAlign w:val="center"/>
          </w:tcPr>
          <w:p w14:paraId="671B01C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967FB0">
              <w:rPr>
                <w:b w:val="0"/>
              </w:rPr>
            </w:r>
            <w:r w:rsidR="00967FB0">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220EF3D"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967FB0">
              <w:rPr>
                <w:b w:val="0"/>
              </w:rPr>
            </w:r>
            <w:r w:rsidR="00967FB0">
              <w:rPr>
                <w:b w:val="0"/>
              </w:rPr>
              <w:fldChar w:fldCharType="separate"/>
            </w:r>
            <w:r>
              <w:rPr>
                <w:b w:val="0"/>
              </w:rPr>
              <w:fldChar w:fldCharType="end"/>
            </w:r>
            <w:bookmarkEnd w:id="26"/>
            <w:r>
              <w:rPr>
                <w:b w:val="0"/>
              </w:rPr>
              <w:t xml:space="preserve"> Risk of harm to self or others</w:t>
            </w:r>
          </w:p>
        </w:tc>
      </w:tr>
      <w:tr w:rsidR="003379BD" w14:paraId="38E007A4" w14:textId="77777777">
        <w:trPr>
          <w:cantSplit/>
          <w:trHeight w:val="192"/>
        </w:trPr>
        <w:tc>
          <w:tcPr>
            <w:tcW w:w="5724" w:type="dxa"/>
            <w:gridSpan w:val="4"/>
            <w:tcBorders>
              <w:top w:val="nil"/>
              <w:left w:val="nil"/>
              <w:bottom w:val="nil"/>
              <w:right w:val="nil"/>
            </w:tcBorders>
            <w:vAlign w:val="center"/>
          </w:tcPr>
          <w:p w14:paraId="10C818CD"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967FB0">
              <w:rPr>
                <w:b w:val="0"/>
              </w:rPr>
            </w:r>
            <w:r w:rsidR="00967FB0">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76C17F5" w14:textId="77777777" w:rsidR="003379BD" w:rsidRDefault="003379BD">
            <w:pPr>
              <w:pStyle w:val="Heading4"/>
              <w:tabs>
                <w:tab w:val="left" w:pos="540"/>
              </w:tabs>
              <w:spacing w:before="0"/>
              <w:jc w:val="left"/>
              <w:rPr>
                <w:b w:val="0"/>
              </w:rPr>
            </w:pPr>
          </w:p>
        </w:tc>
      </w:tr>
      <w:bookmarkEnd w:id="20"/>
      <w:tr w:rsidR="003379BD" w14:paraId="4CF6A6E7" w14:textId="77777777" w:rsidTr="00A14883">
        <w:trPr>
          <w:cantSplit/>
          <w:trHeight w:val="1008"/>
        </w:trPr>
        <w:tc>
          <w:tcPr>
            <w:tcW w:w="11448" w:type="dxa"/>
            <w:gridSpan w:val="10"/>
            <w:tcBorders>
              <w:top w:val="nil"/>
              <w:left w:val="nil"/>
              <w:bottom w:val="single" w:sz="4" w:space="0" w:color="auto"/>
              <w:right w:val="nil"/>
            </w:tcBorders>
          </w:tcPr>
          <w:p w14:paraId="0591FF2A"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691FDFF0" w14:textId="77777777">
        <w:trPr>
          <w:cantSplit/>
          <w:trHeight w:hRule="exact" w:val="440"/>
        </w:trPr>
        <w:tc>
          <w:tcPr>
            <w:tcW w:w="11448" w:type="dxa"/>
            <w:gridSpan w:val="10"/>
            <w:tcBorders>
              <w:top w:val="single" w:sz="4" w:space="0" w:color="auto"/>
              <w:left w:val="nil"/>
              <w:bottom w:val="single" w:sz="4" w:space="0" w:color="auto"/>
              <w:right w:val="nil"/>
            </w:tcBorders>
          </w:tcPr>
          <w:p w14:paraId="2D6DD20C"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6DEE244" w14:textId="77777777" w:rsidR="003379BD" w:rsidRDefault="00464819">
      <w:pPr>
        <w:jc w:val="right"/>
        <w:rPr>
          <w:rFonts w:ascii="Arial" w:hAnsi="Arial"/>
          <w:sz w:val="18"/>
        </w:rPr>
      </w:pPr>
      <w:r>
        <w:rPr>
          <w:rFonts w:ascii="Arial" w:hAnsi="Arial"/>
          <w:sz w:val="18"/>
        </w:rPr>
        <w:t>See Page 2</w:t>
      </w:r>
    </w:p>
    <w:p w14:paraId="2F9B09A5"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BE0E33" w14:paraId="7B4E1185" w14:textId="77777777">
        <w:trPr>
          <w:tblHeader/>
        </w:trPr>
        <w:tc>
          <w:tcPr>
            <w:tcW w:w="4788" w:type="dxa"/>
            <w:tcBorders>
              <w:top w:val="nil"/>
              <w:left w:val="nil"/>
              <w:bottom w:val="nil"/>
              <w:right w:val="nil"/>
            </w:tcBorders>
          </w:tcPr>
          <w:p w14:paraId="69CDC898" w14:textId="77777777" w:rsidR="00BE0E33" w:rsidRDefault="00BE0E33">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16955E44" w14:textId="77777777" w:rsidR="00BE0E33" w:rsidRDefault="00BE0E33" w:rsidP="00BE0E33">
            <w:pPr>
              <w:rPr>
                <w:rFonts w:ascii="Arial" w:hAnsi="Arial"/>
                <w:sz w:val="18"/>
              </w:rPr>
            </w:pPr>
            <w:r>
              <w:rPr>
                <w:rFonts w:ascii="Arial" w:hAnsi="Arial"/>
                <w:sz w:val="18"/>
              </w:rPr>
              <w:t xml:space="preserve">Medication: </w:t>
            </w:r>
            <w:r w:rsidRPr="00F125E2">
              <w:rPr>
                <w:noProof/>
                <w:sz w:val="22"/>
              </w:rPr>
              <w:t>Tegretol</w:t>
            </w:r>
            <w:r>
              <w:rPr>
                <w:sz w:val="22"/>
              </w:rPr>
              <w:t xml:space="preserve"> –</w:t>
            </w:r>
            <w:r>
              <w:rPr>
                <w:rFonts w:ascii="Arial" w:hAnsi="Arial"/>
                <w:sz w:val="18"/>
              </w:rPr>
              <w:t xml:space="preserve"> (</w:t>
            </w:r>
            <w:r w:rsidRPr="00F125E2">
              <w:rPr>
                <w:noProof/>
                <w:sz w:val="22"/>
              </w:rPr>
              <w:t>carbamazepine</w:t>
            </w:r>
            <w:r>
              <w:rPr>
                <w:rFonts w:ascii="Arial" w:hAnsi="Arial"/>
                <w:sz w:val="18"/>
              </w:rPr>
              <w:t xml:space="preserve">) </w:t>
            </w:r>
          </w:p>
        </w:tc>
      </w:tr>
      <w:tr w:rsidR="003379BD" w14:paraId="78E50A46" w14:textId="77777777">
        <w:trPr>
          <w:cantSplit/>
        </w:trPr>
        <w:tc>
          <w:tcPr>
            <w:tcW w:w="11448" w:type="dxa"/>
            <w:gridSpan w:val="2"/>
            <w:tcBorders>
              <w:top w:val="single" w:sz="4" w:space="0" w:color="auto"/>
              <w:left w:val="nil"/>
              <w:bottom w:val="single" w:sz="4" w:space="0" w:color="auto"/>
              <w:right w:val="nil"/>
            </w:tcBorders>
          </w:tcPr>
          <w:p w14:paraId="7D030BB5"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7688F37" w14:textId="77777777" w:rsidTr="008768D6">
        <w:trPr>
          <w:trHeight w:val="864"/>
        </w:trPr>
        <w:tc>
          <w:tcPr>
            <w:tcW w:w="11448" w:type="dxa"/>
            <w:gridSpan w:val="2"/>
            <w:tcBorders>
              <w:top w:val="single" w:sz="4" w:space="0" w:color="auto"/>
              <w:left w:val="nil"/>
              <w:bottom w:val="nil"/>
              <w:right w:val="nil"/>
            </w:tcBorders>
          </w:tcPr>
          <w:p w14:paraId="05C81273"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6778725C" w14:textId="77777777" w:rsidR="0021563E" w:rsidRDefault="003379BD" w:rsidP="00AD441D">
            <w:pPr>
              <w:pStyle w:val="Heading6"/>
              <w:spacing w:before="120"/>
              <w:rPr>
                <w:sz w:val="18"/>
                <w:szCs w:val="18"/>
              </w:rPr>
            </w:pPr>
            <w:r w:rsidRPr="0056414C">
              <w:rPr>
                <w:sz w:val="18"/>
                <w:szCs w:val="18"/>
              </w:rPr>
              <w:t>Most Common Side Effects</w:t>
            </w:r>
          </w:p>
          <w:p w14:paraId="12C81030" w14:textId="77777777" w:rsidR="003F3A9A" w:rsidRDefault="003F3A9A" w:rsidP="003F3A9A">
            <w:pPr>
              <w:rPr>
                <w:rFonts w:ascii="Arial" w:hAnsi="Arial"/>
                <w:noProof/>
                <w:sz w:val="18"/>
              </w:rPr>
            </w:pPr>
            <w:r w:rsidRPr="00F125E2">
              <w:rPr>
                <w:rFonts w:ascii="Arial" w:hAnsi="Arial"/>
                <w:noProof/>
                <w:sz w:val="18"/>
              </w:rPr>
              <w:t xml:space="preserve">The most common side effects include </w:t>
            </w:r>
            <w:r>
              <w:rPr>
                <w:rFonts w:ascii="Arial" w:hAnsi="Arial"/>
                <w:noProof/>
                <w:sz w:val="18"/>
              </w:rPr>
              <w:t>dizziness, drowsiness, headache, nausea/vomiting, unintentional body movements, constipation, dry mouth, itch/rash, and blurred vision.</w:t>
            </w:r>
          </w:p>
          <w:p w14:paraId="2021AFF8" w14:textId="77777777" w:rsidR="003F3A9A" w:rsidRPr="003F3A9A" w:rsidRDefault="003F3A9A" w:rsidP="003F3A9A"/>
        </w:tc>
      </w:tr>
      <w:tr w:rsidR="003379BD" w14:paraId="141B09D1" w14:textId="77777777" w:rsidTr="008768D6">
        <w:trPr>
          <w:trHeight w:val="576"/>
        </w:trPr>
        <w:tc>
          <w:tcPr>
            <w:tcW w:w="11448" w:type="dxa"/>
            <w:gridSpan w:val="2"/>
            <w:tcBorders>
              <w:top w:val="nil"/>
              <w:left w:val="nil"/>
              <w:bottom w:val="nil"/>
              <w:right w:val="nil"/>
            </w:tcBorders>
          </w:tcPr>
          <w:p w14:paraId="114B0DD2"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075DE6CB" w14:textId="77777777" w:rsidR="003F3A9A" w:rsidRDefault="003F3A9A" w:rsidP="003F3A9A">
            <w:pPr>
              <w:rPr>
                <w:rFonts w:ascii="Arial" w:hAnsi="Arial"/>
                <w:noProof/>
                <w:sz w:val="18"/>
              </w:rPr>
            </w:pPr>
            <w:r w:rsidRPr="00F125E2">
              <w:rPr>
                <w:rFonts w:ascii="Arial" w:hAnsi="Arial"/>
                <w:noProof/>
                <w:sz w:val="18"/>
              </w:rPr>
              <w:t>Less common side effects include</w:t>
            </w:r>
            <w:r>
              <w:rPr>
                <w:rFonts w:ascii="Arial" w:hAnsi="Arial"/>
                <w:noProof/>
                <w:sz w:val="18"/>
              </w:rPr>
              <w:t xml:space="preserve"> repetitive uncontrollable eye movements, changes in blood pressure,speech disturbance, twitching, weakness,</w:t>
            </w:r>
            <w:r w:rsidRPr="00F125E2">
              <w:rPr>
                <w:rFonts w:ascii="Arial" w:hAnsi="Arial"/>
                <w:noProof/>
                <w:sz w:val="18"/>
              </w:rPr>
              <w:t xml:space="preserve"> behavioral c</w:t>
            </w:r>
            <w:r>
              <w:rPr>
                <w:rFonts w:ascii="Arial" w:hAnsi="Arial"/>
                <w:noProof/>
                <w:sz w:val="18"/>
              </w:rPr>
              <w:t xml:space="preserve">hanges (especially in children), confusion, agitation, diarrhea, hives, aching joints or muscles, </w:t>
            </w:r>
            <w:r w:rsidRPr="00F125E2">
              <w:rPr>
                <w:rFonts w:ascii="Arial" w:hAnsi="Arial"/>
                <w:noProof/>
                <w:sz w:val="18"/>
              </w:rPr>
              <w:t>increased sensitivity of skin to sunligh</w:t>
            </w:r>
            <w:r>
              <w:rPr>
                <w:rFonts w:ascii="Arial" w:hAnsi="Arial"/>
                <w:noProof/>
                <w:sz w:val="18"/>
              </w:rPr>
              <w:t>t, loss of appetite,</w:t>
            </w:r>
            <w:r w:rsidRPr="00F125E2">
              <w:rPr>
                <w:rFonts w:ascii="Arial" w:hAnsi="Arial"/>
                <w:noProof/>
                <w:sz w:val="18"/>
              </w:rPr>
              <w:t xml:space="preserve"> stomach pain or discomfort</w:t>
            </w:r>
            <w:r>
              <w:rPr>
                <w:rFonts w:ascii="Arial" w:hAnsi="Arial"/>
                <w:noProof/>
                <w:sz w:val="18"/>
              </w:rPr>
              <w:t>.</w:t>
            </w:r>
          </w:p>
          <w:p w14:paraId="386BA162" w14:textId="77777777" w:rsidR="003F3A9A" w:rsidRDefault="003F3A9A" w:rsidP="00AD441D">
            <w:pPr>
              <w:rPr>
                <w:b/>
              </w:rPr>
            </w:pPr>
          </w:p>
        </w:tc>
      </w:tr>
      <w:tr w:rsidR="003379BD" w14:paraId="32E7A360" w14:textId="77777777" w:rsidTr="008768D6">
        <w:trPr>
          <w:trHeight w:val="576"/>
        </w:trPr>
        <w:tc>
          <w:tcPr>
            <w:tcW w:w="11448" w:type="dxa"/>
            <w:gridSpan w:val="2"/>
            <w:tcBorders>
              <w:top w:val="nil"/>
              <w:left w:val="nil"/>
              <w:bottom w:val="nil"/>
              <w:right w:val="nil"/>
            </w:tcBorders>
          </w:tcPr>
          <w:p w14:paraId="6C5448E7" w14:textId="77777777" w:rsidR="003379BD" w:rsidRDefault="003379BD" w:rsidP="00AD441D">
            <w:pPr>
              <w:rPr>
                <w:rFonts w:ascii="Arial" w:hAnsi="Arial"/>
                <w:b/>
                <w:sz w:val="18"/>
              </w:rPr>
            </w:pPr>
            <w:r>
              <w:rPr>
                <w:rFonts w:ascii="Arial" w:hAnsi="Arial"/>
                <w:b/>
                <w:sz w:val="18"/>
              </w:rPr>
              <w:t>Rare Side Effects</w:t>
            </w:r>
          </w:p>
          <w:p w14:paraId="787DA5AC" w14:textId="77777777" w:rsidR="003F3A9A" w:rsidRDefault="003F3A9A" w:rsidP="003F3A9A">
            <w:pPr>
              <w:rPr>
                <w:rFonts w:ascii="Arial" w:hAnsi="Arial"/>
                <w:noProof/>
                <w:sz w:val="18"/>
              </w:rPr>
            </w:pPr>
            <w:r>
              <w:rPr>
                <w:rFonts w:ascii="Arial" w:hAnsi="Arial"/>
                <w:noProof/>
                <w:sz w:val="18"/>
              </w:rPr>
              <w:t>Rare but serious</w:t>
            </w:r>
            <w:r w:rsidRPr="00F125E2">
              <w:rPr>
                <w:rFonts w:ascii="Arial" w:hAnsi="Arial"/>
                <w:noProof/>
                <w:sz w:val="18"/>
              </w:rPr>
              <w:t xml:space="preserve"> side effe</w:t>
            </w:r>
            <w:r>
              <w:rPr>
                <w:rFonts w:ascii="Arial" w:hAnsi="Arial"/>
                <w:noProof/>
                <w:sz w:val="18"/>
              </w:rPr>
              <w:t>cts include blood in urine or stool,</w:t>
            </w:r>
            <w:r w:rsidRPr="00F125E2">
              <w:rPr>
                <w:rFonts w:ascii="Arial" w:hAnsi="Arial"/>
                <w:noProof/>
                <w:sz w:val="18"/>
              </w:rPr>
              <w:t xml:space="preserve"> nosebleeds or oth</w:t>
            </w:r>
            <w:r>
              <w:rPr>
                <w:rFonts w:ascii="Arial" w:hAnsi="Arial"/>
                <w:noProof/>
                <w:sz w:val="18"/>
              </w:rPr>
              <w:t>er unusual bleeding or bruising, electrolyte changes, congestive heart failure, a serious rash called Stevens Johnson Syndrome or Toxic Epidermal Necrolysis,</w:t>
            </w:r>
            <w:r w:rsidRPr="00F125E2">
              <w:rPr>
                <w:rFonts w:ascii="Arial" w:hAnsi="Arial"/>
                <w:noProof/>
                <w:sz w:val="18"/>
              </w:rPr>
              <w:t xml:space="preserve"> </w:t>
            </w:r>
            <w:r>
              <w:rPr>
                <w:rFonts w:ascii="Arial" w:hAnsi="Arial"/>
                <w:noProof/>
                <w:sz w:val="18"/>
              </w:rPr>
              <w:t>suicidal behavior or ideation, pancreatitis, change in seizures, bone marrow suppression and other effects on blood cell counts, liver failure or toxicity causing yellowing of skin/eyes, kidney failure, pulmonary hypersensitivity, fever or infection,</w:t>
            </w:r>
            <w:r w:rsidRPr="00F125E2">
              <w:rPr>
                <w:rFonts w:ascii="Arial" w:hAnsi="Arial"/>
                <w:noProof/>
                <w:sz w:val="18"/>
              </w:rPr>
              <w:t xml:space="preserve"> irregular, poundi</w:t>
            </w:r>
            <w:r>
              <w:rPr>
                <w:rFonts w:ascii="Arial" w:hAnsi="Arial"/>
                <w:noProof/>
                <w:sz w:val="18"/>
              </w:rPr>
              <w:t>ng, or unusually slow heartbeat,</w:t>
            </w:r>
            <w:r w:rsidRPr="00F125E2">
              <w:rPr>
                <w:rFonts w:ascii="Arial" w:hAnsi="Arial"/>
                <w:noProof/>
                <w:sz w:val="18"/>
              </w:rPr>
              <w:t xml:space="preserve"> mental depression with restlessness and nervousness or other mood or mental changes</w:t>
            </w:r>
            <w:r>
              <w:rPr>
                <w:rFonts w:ascii="Arial" w:hAnsi="Arial"/>
                <w:noProof/>
                <w:sz w:val="18"/>
              </w:rPr>
              <w:t>,</w:t>
            </w:r>
            <w:r w:rsidRPr="00F125E2">
              <w:rPr>
                <w:rFonts w:ascii="Arial" w:hAnsi="Arial"/>
                <w:noProof/>
                <w:sz w:val="18"/>
              </w:rPr>
              <w:t xml:space="preserve"> ringing, buzzing, or other</w:t>
            </w:r>
            <w:r>
              <w:rPr>
                <w:rFonts w:ascii="Arial" w:hAnsi="Arial"/>
                <w:noProof/>
                <w:sz w:val="18"/>
              </w:rPr>
              <w:t xml:space="preserve"> unexplained sounds in the ears, visual hallucinations,</w:t>
            </w:r>
            <w:r w:rsidRPr="00F125E2">
              <w:rPr>
                <w:rFonts w:ascii="Arial" w:hAnsi="Arial"/>
                <w:noProof/>
                <w:sz w:val="18"/>
              </w:rPr>
              <w:t xml:space="preserve"> </w:t>
            </w:r>
            <w:r>
              <w:rPr>
                <w:rFonts w:ascii="Arial" w:hAnsi="Arial"/>
                <w:noProof/>
                <w:sz w:val="18"/>
              </w:rPr>
              <w:t xml:space="preserve">change in eyesight, </w:t>
            </w:r>
            <w:r w:rsidRPr="00F125E2">
              <w:rPr>
                <w:rFonts w:ascii="Arial" w:hAnsi="Arial"/>
                <w:noProof/>
                <w:sz w:val="18"/>
              </w:rPr>
              <w:t>su</w:t>
            </w:r>
            <w:r>
              <w:rPr>
                <w:rFonts w:ascii="Arial" w:hAnsi="Arial"/>
                <w:noProof/>
                <w:sz w:val="18"/>
              </w:rPr>
              <w:t>dden decrease in amount of urine,</w:t>
            </w:r>
            <w:r w:rsidRPr="00F125E2">
              <w:rPr>
                <w:rFonts w:ascii="Arial" w:hAnsi="Arial"/>
                <w:noProof/>
                <w:sz w:val="18"/>
              </w:rPr>
              <w:t xml:space="preserve"> swelling of f</w:t>
            </w:r>
            <w:r>
              <w:rPr>
                <w:rFonts w:ascii="Arial" w:hAnsi="Arial"/>
                <w:noProof/>
                <w:sz w:val="18"/>
              </w:rPr>
              <w:t>ace, hands, feet, or lower legs.</w:t>
            </w:r>
          </w:p>
          <w:p w14:paraId="0749BD16" w14:textId="77777777" w:rsidR="003F3A9A" w:rsidRDefault="003F3A9A" w:rsidP="00AD441D">
            <w:pPr>
              <w:rPr>
                <w:b/>
              </w:rPr>
            </w:pPr>
          </w:p>
        </w:tc>
      </w:tr>
      <w:tr w:rsidR="003379BD" w14:paraId="557541AA" w14:textId="77777777" w:rsidTr="008768D6">
        <w:trPr>
          <w:trHeight w:val="576"/>
        </w:trPr>
        <w:tc>
          <w:tcPr>
            <w:tcW w:w="11448" w:type="dxa"/>
            <w:gridSpan w:val="2"/>
            <w:tcBorders>
              <w:top w:val="nil"/>
              <w:left w:val="nil"/>
              <w:bottom w:val="nil"/>
              <w:right w:val="nil"/>
            </w:tcBorders>
          </w:tcPr>
          <w:p w14:paraId="7B735E0E"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13EC4A88" w14:textId="77777777" w:rsidR="003F3A9A" w:rsidRDefault="003F3A9A" w:rsidP="003F3A9A">
            <w:pPr>
              <w:rPr>
                <w:rFonts w:ascii="Arial" w:hAnsi="Arial"/>
                <w:noProof/>
                <w:sz w:val="18"/>
              </w:rPr>
            </w:pPr>
            <w:r w:rsidRPr="00F125E2">
              <w:rPr>
                <w:rFonts w:ascii="Arial" w:hAnsi="Arial"/>
                <w:noProof/>
                <w:sz w:val="18"/>
              </w:rPr>
              <w:t>Notify ph</w:t>
            </w:r>
            <w:r>
              <w:rPr>
                <w:rFonts w:ascii="Arial" w:hAnsi="Arial"/>
                <w:noProof/>
                <w:sz w:val="18"/>
              </w:rPr>
              <w:t>ysician if mood/mental changes,signs of an allergic reaction,</w:t>
            </w:r>
            <w:r w:rsidRPr="00F125E2">
              <w:rPr>
                <w:rFonts w:ascii="Arial" w:hAnsi="Arial"/>
                <w:noProof/>
                <w:sz w:val="18"/>
              </w:rPr>
              <w:t>swelling of extremities, difficulty urinating and/or shortness of breath occur.</w:t>
            </w:r>
          </w:p>
          <w:p w14:paraId="6AF3F83A" w14:textId="77777777" w:rsidR="003F3A9A" w:rsidRDefault="003F3A9A" w:rsidP="003F3A9A">
            <w:pPr>
              <w:rPr>
                <w:rFonts w:ascii="Arial" w:hAnsi="Arial"/>
                <w:noProof/>
                <w:sz w:val="18"/>
              </w:rPr>
            </w:pPr>
          </w:p>
          <w:p w14:paraId="2C86CB72" w14:textId="77777777" w:rsidR="003F3A9A" w:rsidRDefault="003F3A9A" w:rsidP="003F3A9A">
            <w:pPr>
              <w:rPr>
                <w:rFonts w:ascii="Arial" w:hAnsi="Arial"/>
                <w:noProof/>
                <w:sz w:val="18"/>
              </w:rPr>
            </w:pPr>
            <w:r w:rsidRPr="00E22DCD">
              <w:rPr>
                <w:rFonts w:ascii="Arial" w:hAnsi="Arial"/>
                <w:noProof/>
                <w:sz w:val="18"/>
              </w:rPr>
              <w:t>Patients should be advised that anaphylactic reactions and angioedema may occur during treatment with Tegretol. Advise patients to immediately report signs and symptoms suggesting angioedema (swelling of the face, eyes, lips, or tongue, or difficulty in swallowing or breathing) and to stop taking the drug until they have consulted with their healthcare provider.</w:t>
            </w:r>
          </w:p>
          <w:p w14:paraId="4A37B05A" w14:textId="77777777" w:rsidR="003F3A9A" w:rsidRDefault="003F3A9A" w:rsidP="00AD441D">
            <w:pPr>
              <w:rPr>
                <w:b/>
              </w:rPr>
            </w:pPr>
          </w:p>
        </w:tc>
      </w:tr>
      <w:tr w:rsidR="003379BD" w14:paraId="7AFA5624" w14:textId="77777777" w:rsidTr="008768D6">
        <w:trPr>
          <w:trHeight w:val="576"/>
        </w:trPr>
        <w:tc>
          <w:tcPr>
            <w:tcW w:w="11448" w:type="dxa"/>
            <w:gridSpan w:val="2"/>
            <w:tcBorders>
              <w:top w:val="nil"/>
              <w:left w:val="nil"/>
              <w:bottom w:val="nil"/>
              <w:right w:val="nil"/>
            </w:tcBorders>
          </w:tcPr>
          <w:p w14:paraId="0E64EFDA"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5152308C" w14:textId="77777777" w:rsidR="00F8797B" w:rsidRPr="00AF4249" w:rsidRDefault="00F8797B" w:rsidP="00F8797B">
            <w:pPr>
              <w:rPr>
                <w:rFonts w:ascii="Arial" w:hAnsi="Arial"/>
                <w:b/>
                <w:sz w:val="18"/>
              </w:rPr>
            </w:pPr>
            <w:r>
              <w:rPr>
                <w:rFonts w:ascii="Arial" w:hAnsi="Arial"/>
                <w:b/>
                <w:sz w:val="18"/>
              </w:rPr>
              <w:t>BLACK BOX WARNING</w:t>
            </w:r>
          </w:p>
          <w:p w14:paraId="591D4718" w14:textId="77777777" w:rsidR="00F8797B" w:rsidRPr="00AF4249" w:rsidRDefault="00F8797B" w:rsidP="00F8797B">
            <w:pPr>
              <w:rPr>
                <w:rFonts w:ascii="Arial" w:hAnsi="Arial"/>
                <w:b/>
                <w:sz w:val="18"/>
              </w:rPr>
            </w:pPr>
            <w:r w:rsidRPr="00AF4249">
              <w:rPr>
                <w:rFonts w:ascii="Arial" w:hAnsi="Arial"/>
                <w:b/>
                <w:sz w:val="18"/>
              </w:rPr>
              <w:t>Hematological</w:t>
            </w:r>
          </w:p>
          <w:p w14:paraId="533D548F" w14:textId="77777777" w:rsidR="00F8797B" w:rsidRDefault="00F8797B" w:rsidP="00F8797B">
            <w:pPr>
              <w:rPr>
                <w:rFonts w:ascii="Arial" w:hAnsi="Arial"/>
                <w:sz w:val="18"/>
              </w:rPr>
            </w:pPr>
            <w:r w:rsidRPr="00AF4249">
              <w:rPr>
                <w:rFonts w:ascii="Arial" w:hAnsi="Arial"/>
                <w:sz w:val="18"/>
              </w:rPr>
              <w:t>Aplastic anemia and agranulocytosis has been reported with use of carbamazepine. Risk</w:t>
            </w:r>
            <w:r>
              <w:rPr>
                <w:rFonts w:ascii="Arial" w:hAnsi="Arial"/>
                <w:sz w:val="18"/>
              </w:rPr>
              <w:t xml:space="preserve"> is</w:t>
            </w:r>
            <w:r w:rsidRPr="00AF4249">
              <w:rPr>
                <w:rFonts w:ascii="Arial" w:hAnsi="Arial"/>
                <w:sz w:val="18"/>
              </w:rPr>
              <w:t xml:space="preserve"> 5-8 times greater than general population. However, the overall risk of these reactions in the untreated general population is low. Agranluocytosis: 6 patients/1 million population per year. Aplastic anemia: 2 patients/1 million population per year. Incidence data: Although reports of transient or persistent decreased platelet or white blood cell counts are not uncommon with carbamazepine use, data are not available to estimate accurately their incidence or outcome. Outcomes: The vast majority of the cases of leukopenia have not progressed to the more serious conditions of aplastic anemia or ganulocytosis. </w:t>
            </w:r>
          </w:p>
          <w:p w14:paraId="72E1E0EA" w14:textId="77777777" w:rsidR="00F8797B" w:rsidRDefault="00F8797B" w:rsidP="00F8797B">
            <w:pPr>
              <w:rPr>
                <w:rFonts w:ascii="Arial" w:hAnsi="Arial"/>
                <w:sz w:val="18"/>
              </w:rPr>
            </w:pPr>
          </w:p>
          <w:p w14:paraId="5E7E7195" w14:textId="77777777" w:rsidR="00F8797B" w:rsidRPr="00AF4249" w:rsidRDefault="00F8797B" w:rsidP="00F8797B">
            <w:pPr>
              <w:rPr>
                <w:rFonts w:ascii="Arial" w:hAnsi="Arial"/>
                <w:sz w:val="18"/>
              </w:rPr>
            </w:pPr>
            <w:r w:rsidRPr="00AF4249">
              <w:rPr>
                <w:rFonts w:ascii="Arial" w:hAnsi="Arial"/>
                <w:b/>
                <w:sz w:val="18"/>
              </w:rPr>
              <w:t>Serious Dermatologic Reactions and HLA-B*1502 Allele</w:t>
            </w:r>
          </w:p>
          <w:p w14:paraId="33D855A5" w14:textId="77777777" w:rsidR="00F8797B" w:rsidRPr="00AF4249" w:rsidRDefault="00F8797B" w:rsidP="00F8797B">
            <w:pPr>
              <w:rPr>
                <w:rFonts w:ascii="Arial" w:hAnsi="Arial"/>
                <w:sz w:val="18"/>
              </w:rPr>
            </w:pPr>
            <w:r w:rsidRPr="00AF4249">
              <w:rPr>
                <w:rFonts w:ascii="Arial" w:hAnsi="Arial"/>
                <w:sz w:val="18"/>
              </w:rPr>
              <w:t xml:space="preserve">Serious and sometimes fatal dermatologic reactions, including toxic epidermal necrolysis (TEN) and Stevens-Johnson Syndrome (SJS), have been reported during treatment with carbamazepine. These reactions are estimated to occur in 1 to 6 per 10,000 new users in countries with mainly </w:t>
            </w:r>
            <w:r>
              <w:rPr>
                <w:rFonts w:ascii="Arial" w:hAnsi="Arial"/>
                <w:sz w:val="18"/>
              </w:rPr>
              <w:t>c</w:t>
            </w:r>
            <w:r w:rsidRPr="00AF4249">
              <w:rPr>
                <w:rFonts w:ascii="Arial" w:hAnsi="Arial"/>
                <w:sz w:val="18"/>
              </w:rPr>
              <w:t xml:space="preserve">aucasian populations, but the risk in some Asian countries is estimated to be about 10 times higher. Studies in patients of Chinese ancestry have found a strong association between the risk of developing SJS/TEN and the presence of HLA-B*1502, an inherited allelic variant of the HLA-B gene. HLA-B*1502 is found almost exclusively in patients with ancestry across broad areas of </w:t>
            </w:r>
            <w:smartTag w:uri="urn:schemas-microsoft-com:office:smarttags" w:element="place">
              <w:r w:rsidRPr="00AF4249">
                <w:rPr>
                  <w:rFonts w:ascii="Arial" w:hAnsi="Arial"/>
                  <w:sz w:val="18"/>
                </w:rPr>
                <w:t>Asia</w:t>
              </w:r>
            </w:smartTag>
            <w:r w:rsidRPr="00AF4249">
              <w:rPr>
                <w:rFonts w:ascii="Arial" w:hAnsi="Arial"/>
                <w:sz w:val="18"/>
              </w:rPr>
              <w:t>. Patients with ancestry in genetically at risk populations should be screened for the presence of HLA-B*1502 prior to initiating treatment with carbamazepine. Patients testing positive for the allele should not be treated with carbamazepine unless the benefit clearly outweighs the risk.</w:t>
            </w:r>
          </w:p>
          <w:p w14:paraId="0D5A5FBB" w14:textId="77777777" w:rsidR="00F8797B" w:rsidRPr="00AF4249" w:rsidRDefault="00F8797B" w:rsidP="00F8797B">
            <w:pPr>
              <w:rPr>
                <w:rFonts w:ascii="Arial" w:hAnsi="Arial"/>
                <w:b/>
                <w:sz w:val="18"/>
              </w:rPr>
            </w:pPr>
          </w:p>
          <w:p w14:paraId="5F1732AB" w14:textId="77777777" w:rsidR="00F8797B" w:rsidRPr="00AF4249" w:rsidRDefault="00F8797B" w:rsidP="00F8797B">
            <w:pPr>
              <w:rPr>
                <w:rFonts w:ascii="Arial" w:hAnsi="Arial"/>
                <w:b/>
                <w:sz w:val="18"/>
              </w:rPr>
            </w:pPr>
            <w:r w:rsidRPr="00AF4249">
              <w:rPr>
                <w:rFonts w:ascii="Arial" w:hAnsi="Arial"/>
                <w:b/>
                <w:sz w:val="18"/>
              </w:rPr>
              <w:t>MONITORING RECOMMENDATIONS RELATED TO BLACK BOX DATA</w:t>
            </w:r>
          </w:p>
          <w:p w14:paraId="17FFAAA2" w14:textId="77777777" w:rsidR="00F8797B" w:rsidRPr="00AF4249" w:rsidRDefault="00F8797B" w:rsidP="00F8797B">
            <w:pPr>
              <w:rPr>
                <w:rFonts w:ascii="Arial" w:hAnsi="Arial"/>
                <w:sz w:val="18"/>
              </w:rPr>
            </w:pPr>
            <w:r w:rsidRPr="00AF4249">
              <w:rPr>
                <w:rFonts w:ascii="Arial" w:hAnsi="Arial"/>
                <w:sz w:val="18"/>
              </w:rPr>
              <w:t xml:space="preserve">Note: The following recommendations are part of the black box warning data. </w:t>
            </w:r>
          </w:p>
          <w:p w14:paraId="4641BA87" w14:textId="77777777" w:rsidR="00F8797B" w:rsidRDefault="00F8797B" w:rsidP="00F8797B">
            <w:pPr>
              <w:rPr>
                <w:rFonts w:ascii="Arial" w:hAnsi="Arial"/>
                <w:sz w:val="18"/>
              </w:rPr>
            </w:pPr>
          </w:p>
          <w:p w14:paraId="629DB74A" w14:textId="77777777" w:rsidR="00F8797B" w:rsidRPr="00AF4249" w:rsidRDefault="00F8797B" w:rsidP="00F8797B">
            <w:pPr>
              <w:rPr>
                <w:rFonts w:ascii="Arial" w:hAnsi="Arial"/>
                <w:sz w:val="18"/>
              </w:rPr>
            </w:pPr>
            <w:r w:rsidRPr="00AF4249">
              <w:rPr>
                <w:rFonts w:ascii="Arial" w:hAnsi="Arial"/>
                <w:sz w:val="18"/>
              </w:rPr>
              <w:t xml:space="preserve">Discontinuation of medication should be considered if any evidence of significant bone marrow depression develops. Because of the very low incidence of agranulocytosis and aplastic anemia the vast majority of minor hematologic changes observed during monitoring are unlikely to signal the development of either event. </w:t>
            </w:r>
          </w:p>
          <w:p w14:paraId="578D8173" w14:textId="77777777" w:rsidR="00F8797B" w:rsidRDefault="00F8797B" w:rsidP="00F8797B">
            <w:pPr>
              <w:rPr>
                <w:rFonts w:ascii="Arial" w:hAnsi="Arial"/>
                <w:sz w:val="18"/>
              </w:rPr>
            </w:pPr>
          </w:p>
          <w:p w14:paraId="6AAC045F" w14:textId="77777777" w:rsidR="00F8797B" w:rsidRPr="00AF4249" w:rsidRDefault="00F8797B" w:rsidP="00F8797B">
            <w:pPr>
              <w:rPr>
                <w:rFonts w:ascii="Arial" w:hAnsi="Arial"/>
                <w:sz w:val="18"/>
              </w:rPr>
            </w:pPr>
            <w:r w:rsidRPr="00AF4249">
              <w:rPr>
                <w:rFonts w:ascii="Arial" w:hAnsi="Arial"/>
                <w:sz w:val="18"/>
              </w:rPr>
              <w:t>The following recommendations are outlined in the Laboratory Tes</w:t>
            </w:r>
            <w:r>
              <w:rPr>
                <w:rFonts w:ascii="Arial" w:hAnsi="Arial"/>
                <w:sz w:val="18"/>
              </w:rPr>
              <w:t>t section of the package insert:</w:t>
            </w:r>
          </w:p>
          <w:p w14:paraId="6430AA6B" w14:textId="77777777" w:rsidR="00F8797B" w:rsidRDefault="00F8797B" w:rsidP="00F8797B">
            <w:pPr>
              <w:rPr>
                <w:rFonts w:ascii="Arial" w:hAnsi="Arial"/>
                <w:sz w:val="18"/>
              </w:rPr>
            </w:pPr>
          </w:p>
          <w:p w14:paraId="3A06B904" w14:textId="77777777" w:rsidR="00F8797B" w:rsidRPr="00AF4249" w:rsidRDefault="00F8797B" w:rsidP="00F8797B">
            <w:pPr>
              <w:rPr>
                <w:rFonts w:ascii="Arial" w:hAnsi="Arial"/>
                <w:sz w:val="18"/>
              </w:rPr>
            </w:pPr>
            <w:r w:rsidRPr="00AF4249">
              <w:rPr>
                <w:rFonts w:ascii="Arial" w:hAnsi="Arial"/>
                <w:sz w:val="18"/>
              </w:rPr>
              <w:t>Perform complete pretreatment blood counts (including platelets and possibly reticulocytes and serum iron) and periodic monitoring through therapy. If low or decreased white blood cell count or platelet counts occur, monitor patient closely.</w:t>
            </w:r>
          </w:p>
          <w:p w14:paraId="2EF4A8BE" w14:textId="77777777" w:rsidR="00F8797B" w:rsidRDefault="00F8797B" w:rsidP="00AD441D">
            <w:pPr>
              <w:rPr>
                <w:b/>
              </w:rPr>
            </w:pPr>
          </w:p>
        </w:tc>
      </w:tr>
      <w:tr w:rsidR="003379BD" w14:paraId="3209FE5C" w14:textId="77777777" w:rsidTr="008768D6">
        <w:trPr>
          <w:trHeight w:hRule="exact" w:val="288"/>
        </w:trPr>
        <w:tc>
          <w:tcPr>
            <w:tcW w:w="11448" w:type="dxa"/>
            <w:gridSpan w:val="2"/>
            <w:tcBorders>
              <w:top w:val="nil"/>
              <w:left w:val="nil"/>
              <w:bottom w:val="single" w:sz="4" w:space="0" w:color="auto"/>
              <w:right w:val="nil"/>
            </w:tcBorders>
            <w:vAlign w:val="bottom"/>
          </w:tcPr>
          <w:p w14:paraId="70C78A1A" w14:textId="3A2CC2AC" w:rsidR="003379BD" w:rsidRDefault="003379BD" w:rsidP="005325D4">
            <w:pPr>
              <w:rPr>
                <w:rFonts w:ascii="Arial" w:hAnsi="Arial"/>
                <w:sz w:val="18"/>
              </w:rPr>
            </w:pPr>
            <w:r>
              <w:rPr>
                <w:rFonts w:ascii="Arial" w:hAnsi="Arial"/>
                <w:sz w:val="18"/>
              </w:rPr>
              <w:t xml:space="preserve">See </w:t>
            </w:r>
            <w:r w:rsidR="00A14883">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A51D601" w14:textId="77777777">
        <w:trPr>
          <w:cantSplit/>
        </w:trPr>
        <w:tc>
          <w:tcPr>
            <w:tcW w:w="11448" w:type="dxa"/>
            <w:gridSpan w:val="2"/>
            <w:tcBorders>
              <w:top w:val="nil"/>
              <w:left w:val="nil"/>
              <w:bottom w:val="nil"/>
              <w:right w:val="nil"/>
            </w:tcBorders>
          </w:tcPr>
          <w:p w14:paraId="446FCD17"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101BB1A4"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17AA29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28BC55A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5C2F60A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09BD73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159C05B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1D9401D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52167B9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438FAFA3" w14:textId="77777777" w:rsidR="003379BD" w:rsidRDefault="003379BD">
            <w:pPr>
              <w:tabs>
                <w:tab w:val="left" w:pos="360"/>
                <w:tab w:val="left" w:pos="630"/>
              </w:tabs>
              <w:rPr>
                <w:rFonts w:ascii="Arial" w:hAnsi="Arial"/>
                <w:sz w:val="10"/>
              </w:rPr>
            </w:pPr>
          </w:p>
        </w:tc>
      </w:tr>
    </w:tbl>
    <w:p w14:paraId="308BE3BE"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1EB58835" w14:textId="77777777" w:rsidTr="0021563E">
        <w:trPr>
          <w:cantSplit/>
        </w:trPr>
        <w:tc>
          <w:tcPr>
            <w:tcW w:w="9918" w:type="dxa"/>
            <w:gridSpan w:val="5"/>
            <w:tcBorders>
              <w:top w:val="nil"/>
              <w:left w:val="nil"/>
              <w:bottom w:val="nil"/>
              <w:right w:val="nil"/>
            </w:tcBorders>
          </w:tcPr>
          <w:p w14:paraId="01ACC1C6"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5B9282EC" w14:textId="77777777" w:rsidR="003379BD" w:rsidRDefault="005325D4" w:rsidP="0021563E">
            <w:pPr>
              <w:ind w:left="-18"/>
              <w:rPr>
                <w:rFonts w:ascii="Arial" w:hAnsi="Arial"/>
                <w:b/>
                <w:sz w:val="18"/>
              </w:rPr>
            </w:pPr>
            <w:r>
              <w:rPr>
                <w:rFonts w:ascii="Arial" w:hAnsi="Arial"/>
                <w:b/>
                <w:sz w:val="18"/>
              </w:rPr>
              <w:t>DATE SIGNED</w:t>
            </w:r>
          </w:p>
        </w:tc>
      </w:tr>
      <w:tr w:rsidR="003379BD" w14:paraId="6B2D421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5371606"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1D54A392"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967FB0">
              <w:rPr>
                <w:rFonts w:ascii="Arial" w:hAnsi="Arial"/>
                <w:sz w:val="18"/>
              </w:rPr>
            </w:r>
            <w:r w:rsidR="00967FB0">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5313E524"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967FB0">
              <w:rPr>
                <w:rFonts w:ascii="Arial" w:hAnsi="Arial"/>
                <w:sz w:val="18"/>
              </w:rPr>
            </w:r>
            <w:r w:rsidR="00967FB0">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67FB0">
              <w:rPr>
                <w:rFonts w:ascii="Arial" w:hAnsi="Arial"/>
                <w:sz w:val="18"/>
              </w:rPr>
            </w:r>
            <w:r w:rsidR="00967FB0">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3D4A6C65" w14:textId="77777777" w:rsidR="003379BD" w:rsidRDefault="003379BD">
            <w:pPr>
              <w:rPr>
                <w:rFonts w:ascii="Arial" w:hAnsi="Arial"/>
                <w:sz w:val="18"/>
              </w:rPr>
            </w:pPr>
          </w:p>
        </w:tc>
      </w:tr>
      <w:tr w:rsidR="003379BD" w14:paraId="13F6B0B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24E7A86"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7BF49CF"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607F6FF3" w14:textId="77777777" w:rsidR="003379BD" w:rsidRDefault="003379BD">
            <w:pPr>
              <w:rPr>
                <w:rFonts w:ascii="Arial" w:hAnsi="Arial"/>
                <w:sz w:val="18"/>
              </w:rPr>
            </w:pPr>
          </w:p>
        </w:tc>
      </w:tr>
      <w:tr w:rsidR="007A6FC3" w14:paraId="3775D009" w14:textId="77777777">
        <w:trPr>
          <w:cantSplit/>
          <w:trHeight w:hRule="exact" w:val="864"/>
        </w:trPr>
        <w:tc>
          <w:tcPr>
            <w:tcW w:w="11448" w:type="dxa"/>
            <w:gridSpan w:val="6"/>
            <w:tcBorders>
              <w:top w:val="single" w:sz="4" w:space="0" w:color="auto"/>
              <w:left w:val="nil"/>
              <w:bottom w:val="single" w:sz="4" w:space="0" w:color="auto"/>
              <w:right w:val="nil"/>
            </w:tcBorders>
          </w:tcPr>
          <w:p w14:paraId="79E73F56"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41155842"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DBAC49C"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54B2F34"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6AE7AFAB"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73B1552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05EAFF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B90600F"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3CC1D912"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67FB0">
              <w:rPr>
                <w:rFonts w:ascii="Arial" w:hAnsi="Arial"/>
                <w:sz w:val="18"/>
              </w:rPr>
            </w:r>
            <w:r w:rsidR="00967FB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67FB0">
              <w:rPr>
                <w:rFonts w:ascii="Arial" w:hAnsi="Arial"/>
                <w:sz w:val="18"/>
              </w:rPr>
            </w:r>
            <w:r w:rsidR="00967FB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CD2FE95"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51D0CFD"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68832E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216B963"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57D5805"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F57F" w14:textId="77777777" w:rsidR="00D964C7" w:rsidRDefault="00D964C7" w:rsidP="007A6FC3">
      <w:r>
        <w:separator/>
      </w:r>
    </w:p>
  </w:endnote>
  <w:endnote w:type="continuationSeparator" w:id="0">
    <w:p w14:paraId="3A2D446F" w14:textId="77777777" w:rsidR="00D964C7" w:rsidRDefault="00D964C7"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477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B9458"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7A3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772046"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22F6469E" w14:textId="77777777" w:rsidTr="00CC7A80">
      <w:tc>
        <w:tcPr>
          <w:tcW w:w="1932" w:type="dxa"/>
          <w:shd w:val="clear" w:color="auto" w:fill="auto"/>
        </w:tcPr>
        <w:p w14:paraId="145CE087"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A1E45FA"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66F64BC"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A783CC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1BFF51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C2A045D" w14:textId="77777777" w:rsidR="0018307F" w:rsidRPr="00CC7A80" w:rsidRDefault="0018307F" w:rsidP="00CC7A80">
          <w:pPr>
            <w:pStyle w:val="Footer"/>
            <w:jc w:val="right"/>
            <w:rPr>
              <w:rFonts w:ascii="Arial" w:hAnsi="Arial" w:cs="Arial"/>
              <w:sz w:val="18"/>
              <w:szCs w:val="18"/>
            </w:rPr>
          </w:pPr>
        </w:p>
      </w:tc>
    </w:tr>
  </w:tbl>
  <w:p w14:paraId="5CFFE55A" w14:textId="77777777" w:rsidR="0018307F" w:rsidRDefault="0018307F" w:rsidP="0021563E">
    <w:pPr>
      <w:pStyle w:val="Footer"/>
      <w:jc w:val="right"/>
    </w:pPr>
  </w:p>
  <w:p w14:paraId="600E923F"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42C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AD3">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381A128E" w14:textId="77777777" w:rsidTr="00CC7A80">
      <w:tc>
        <w:tcPr>
          <w:tcW w:w="1932" w:type="dxa"/>
          <w:shd w:val="clear" w:color="auto" w:fill="auto"/>
        </w:tcPr>
        <w:p w14:paraId="09E4B64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6316250"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F956A7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221EAB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A362AA6"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B0EF6AC" w14:textId="77777777" w:rsidR="0018307F" w:rsidRPr="00CC7A80" w:rsidRDefault="0018307F" w:rsidP="00CC7A80">
          <w:pPr>
            <w:pStyle w:val="Footer"/>
            <w:jc w:val="right"/>
            <w:rPr>
              <w:rFonts w:ascii="Arial" w:hAnsi="Arial" w:cs="Arial"/>
              <w:sz w:val="18"/>
              <w:szCs w:val="18"/>
            </w:rPr>
          </w:pPr>
        </w:p>
      </w:tc>
    </w:tr>
  </w:tbl>
  <w:p w14:paraId="5B46A4FB"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9302" w14:textId="77777777" w:rsidR="00D964C7" w:rsidRDefault="00D964C7" w:rsidP="007A6FC3">
      <w:r>
        <w:separator/>
      </w:r>
    </w:p>
  </w:footnote>
  <w:footnote w:type="continuationSeparator" w:id="0">
    <w:p w14:paraId="3B7163D0" w14:textId="77777777" w:rsidR="00D964C7" w:rsidRDefault="00D964C7"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312104339">
    <w:abstractNumId w:val="1"/>
  </w:num>
  <w:num w:numId="2" w16cid:durableId="1126777670">
    <w:abstractNumId w:val="3"/>
  </w:num>
  <w:num w:numId="3" w16cid:durableId="1126778364">
    <w:abstractNumId w:val="2"/>
  </w:num>
  <w:num w:numId="4" w16cid:durableId="168651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PA6p9YNYvVzeyZzhlwfDF23L5jWejmujFOAb2H2YSLxMvB2iFDws8eTorPI1SQypDjpUPN5mOlmcy1JpCZxQ==" w:salt="weRcme43NGG37i+MKtWZQ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079E2"/>
    <w:rsid w:val="00017A46"/>
    <w:rsid w:val="00020388"/>
    <w:rsid w:val="00031FEC"/>
    <w:rsid w:val="00057F83"/>
    <w:rsid w:val="00065117"/>
    <w:rsid w:val="000755E2"/>
    <w:rsid w:val="00082C72"/>
    <w:rsid w:val="00097390"/>
    <w:rsid w:val="000E25AD"/>
    <w:rsid w:val="00101422"/>
    <w:rsid w:val="0018307F"/>
    <w:rsid w:val="001B5568"/>
    <w:rsid w:val="001E0B9D"/>
    <w:rsid w:val="0021563E"/>
    <w:rsid w:val="00295B89"/>
    <w:rsid w:val="00311731"/>
    <w:rsid w:val="0031599E"/>
    <w:rsid w:val="003379BD"/>
    <w:rsid w:val="003A15FD"/>
    <w:rsid w:val="003B2EF9"/>
    <w:rsid w:val="003B70D9"/>
    <w:rsid w:val="003D1746"/>
    <w:rsid w:val="003D356D"/>
    <w:rsid w:val="003E29B2"/>
    <w:rsid w:val="003F3A9A"/>
    <w:rsid w:val="004553BF"/>
    <w:rsid w:val="00464819"/>
    <w:rsid w:val="0047002C"/>
    <w:rsid w:val="004B0216"/>
    <w:rsid w:val="004D379B"/>
    <w:rsid w:val="005325D4"/>
    <w:rsid w:val="005508EB"/>
    <w:rsid w:val="0056414C"/>
    <w:rsid w:val="00573C55"/>
    <w:rsid w:val="0059662D"/>
    <w:rsid w:val="005A70E2"/>
    <w:rsid w:val="005C03B7"/>
    <w:rsid w:val="00606B81"/>
    <w:rsid w:val="00612AD3"/>
    <w:rsid w:val="00621771"/>
    <w:rsid w:val="00622264"/>
    <w:rsid w:val="00644115"/>
    <w:rsid w:val="0064565E"/>
    <w:rsid w:val="00653309"/>
    <w:rsid w:val="00683097"/>
    <w:rsid w:val="006B7A42"/>
    <w:rsid w:val="00775C94"/>
    <w:rsid w:val="007A6FC3"/>
    <w:rsid w:val="007B70D7"/>
    <w:rsid w:val="007F44C1"/>
    <w:rsid w:val="008768D6"/>
    <w:rsid w:val="008D1C36"/>
    <w:rsid w:val="00916D82"/>
    <w:rsid w:val="00927055"/>
    <w:rsid w:val="00934FD5"/>
    <w:rsid w:val="00967FB0"/>
    <w:rsid w:val="009B59D3"/>
    <w:rsid w:val="00A14883"/>
    <w:rsid w:val="00A22DDB"/>
    <w:rsid w:val="00A60207"/>
    <w:rsid w:val="00AA7ED4"/>
    <w:rsid w:val="00AB1650"/>
    <w:rsid w:val="00AD441D"/>
    <w:rsid w:val="00B1786E"/>
    <w:rsid w:val="00B24943"/>
    <w:rsid w:val="00B47C64"/>
    <w:rsid w:val="00B64324"/>
    <w:rsid w:val="00B82162"/>
    <w:rsid w:val="00B83999"/>
    <w:rsid w:val="00BE0E33"/>
    <w:rsid w:val="00CA71B6"/>
    <w:rsid w:val="00CA7C90"/>
    <w:rsid w:val="00CC7A80"/>
    <w:rsid w:val="00CF16BF"/>
    <w:rsid w:val="00D40FF6"/>
    <w:rsid w:val="00D77F6A"/>
    <w:rsid w:val="00D964C7"/>
    <w:rsid w:val="00DF0FF9"/>
    <w:rsid w:val="00E02750"/>
    <w:rsid w:val="00E7205C"/>
    <w:rsid w:val="00E92D7A"/>
    <w:rsid w:val="00EA1297"/>
    <w:rsid w:val="00EE5A08"/>
    <w:rsid w:val="00EE7B2E"/>
    <w:rsid w:val="00EF5F71"/>
    <w:rsid w:val="00F036C3"/>
    <w:rsid w:val="00F55DC4"/>
    <w:rsid w:val="00F8797B"/>
    <w:rsid w:val="00F93AC6"/>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16C3F4"/>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1739</Words>
  <Characters>9687</Characters>
  <Application>Microsoft Office Word</Application>
  <DocSecurity>0</DocSecurity>
  <Lines>225</Lines>
  <Paragraphs>184</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2024-05-06T16:41:00Z</dcterms:created>
  <dcterms:modified xsi:type="dcterms:W3CDTF">2024-05-06T16:41:00Z</dcterms:modified>
</cp:coreProperties>
</file>