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2B1B55BB"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proofErr w:type="gramStart"/>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 xml:space="preserve"> (</w:t>
            </w:r>
            <w:proofErr w:type="gramEnd"/>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1FFE01DA" w14:textId="77777777" w:rsidR="009B013A" w:rsidRPr="009B013A" w:rsidRDefault="009B013A" w:rsidP="009B013A">
            <w:pPr>
              <w:rPr>
                <w:sz w:val="22"/>
              </w:rPr>
            </w:pPr>
            <w:r w:rsidRPr="009B013A">
              <w:rPr>
                <w:sz w:val="22"/>
              </w:rPr>
              <w:t xml:space="preserve">Antianxiety agent </w:t>
            </w:r>
          </w:p>
          <w:p w14:paraId="3939FA54" w14:textId="6E99B8E5" w:rsidR="003379BD" w:rsidRDefault="009B013A" w:rsidP="009B013A">
            <w:pPr>
              <w:rPr>
                <w:sz w:val="22"/>
              </w:rPr>
            </w:pPr>
            <w:r w:rsidRPr="009B013A">
              <w:rPr>
                <w:sz w:val="22"/>
              </w:rPr>
              <w:t>(benzodiazepine)</w:t>
            </w:r>
          </w:p>
        </w:tc>
        <w:tc>
          <w:tcPr>
            <w:tcW w:w="3420" w:type="dxa"/>
            <w:gridSpan w:val="5"/>
            <w:tcBorders>
              <w:top w:val="single" w:sz="4" w:space="0" w:color="auto"/>
              <w:bottom w:val="single" w:sz="4" w:space="0" w:color="auto"/>
              <w:right w:val="nil"/>
            </w:tcBorders>
          </w:tcPr>
          <w:p w14:paraId="500C1926" w14:textId="77777777" w:rsidR="009B013A" w:rsidRPr="009B013A" w:rsidRDefault="009B013A" w:rsidP="009B013A">
            <w:pPr>
              <w:rPr>
                <w:sz w:val="22"/>
              </w:rPr>
            </w:pPr>
            <w:proofErr w:type="spellStart"/>
            <w:r w:rsidRPr="009B013A">
              <w:rPr>
                <w:sz w:val="22"/>
              </w:rPr>
              <w:t>Tranxene</w:t>
            </w:r>
            <w:proofErr w:type="spellEnd"/>
            <w:r w:rsidRPr="009B013A">
              <w:rPr>
                <w:sz w:val="22"/>
              </w:rPr>
              <w:t>®</w:t>
            </w:r>
          </w:p>
          <w:p w14:paraId="7A26C4B6" w14:textId="7B2D9B9F" w:rsidR="003379BD" w:rsidRDefault="009B013A" w:rsidP="009B013A">
            <w:pPr>
              <w:tabs>
                <w:tab w:val="left" w:pos="702"/>
                <w:tab w:val="left" w:pos="882"/>
                <w:tab w:val="left" w:pos="1152"/>
                <w:tab w:val="left" w:pos="1602"/>
              </w:tabs>
              <w:rPr>
                <w:sz w:val="22"/>
              </w:rPr>
            </w:pPr>
            <w:r w:rsidRPr="009B013A">
              <w:rPr>
                <w:sz w:val="22"/>
              </w:rPr>
              <w:t>(clorazepate)</w:t>
            </w:r>
          </w:p>
        </w:tc>
        <w:tc>
          <w:tcPr>
            <w:tcW w:w="3420" w:type="dxa"/>
            <w:gridSpan w:val="3"/>
            <w:tcBorders>
              <w:top w:val="single" w:sz="4" w:space="0" w:color="auto"/>
              <w:bottom w:val="single" w:sz="4" w:space="0" w:color="auto"/>
              <w:right w:val="nil"/>
            </w:tcBorders>
            <w:vAlign w:val="center"/>
          </w:tcPr>
          <w:p w14:paraId="3C5583EA" w14:textId="20F38228" w:rsidR="003379BD" w:rsidRDefault="009B013A">
            <w:pPr>
              <w:tabs>
                <w:tab w:val="left" w:pos="702"/>
                <w:tab w:val="left" w:pos="882"/>
                <w:tab w:val="left" w:pos="1152"/>
                <w:tab w:val="left" w:pos="1602"/>
              </w:tabs>
              <w:rPr>
                <w:sz w:val="22"/>
              </w:rPr>
            </w:pPr>
            <w:r w:rsidRPr="009B013A">
              <w:rPr>
                <w:sz w:val="22"/>
              </w:rPr>
              <w:t>3.75 mg - 60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E60133">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E60133">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E60133">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E60133">
              <w:rPr>
                <w:b w:val="0"/>
              </w:rPr>
            </w:r>
            <w:r w:rsidR="00E60133">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E60133">
              <w:rPr>
                <w:b w:val="0"/>
              </w:rPr>
            </w:r>
            <w:r w:rsidR="00E60133">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E60133">
              <w:rPr>
                <w:b w:val="0"/>
              </w:rPr>
            </w:r>
            <w:r w:rsidR="00E60133">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E60133">
              <w:rPr>
                <w:b w:val="0"/>
              </w:rPr>
            </w:r>
            <w:r w:rsidR="00E60133">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E60133">
              <w:rPr>
                <w:b w:val="0"/>
              </w:rPr>
            </w:r>
            <w:r w:rsidR="00E60133">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E60133">
              <w:rPr>
                <w:b w:val="0"/>
              </w:rPr>
            </w:r>
            <w:r w:rsidR="00E60133">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E60133">
              <w:rPr>
                <w:b w:val="0"/>
              </w:rPr>
            </w:r>
            <w:r w:rsidR="00E60133">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E60133">
              <w:rPr>
                <w:b w:val="0"/>
              </w:rPr>
            </w:r>
            <w:r w:rsidR="00E60133">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E60133">
              <w:rPr>
                <w:b w:val="0"/>
              </w:rPr>
            </w:r>
            <w:r w:rsidR="00E60133">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E60133">
              <w:rPr>
                <w:b w:val="0"/>
              </w:rPr>
            </w:r>
            <w:r w:rsidR="00E60133">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813BFB2" w:rsidR="003379BD" w:rsidRDefault="003379BD" w:rsidP="006A6CDD">
            <w:pPr>
              <w:rPr>
                <w:rFonts w:ascii="Arial" w:hAnsi="Arial"/>
                <w:sz w:val="18"/>
              </w:rPr>
            </w:pPr>
            <w:r>
              <w:rPr>
                <w:rFonts w:ascii="Arial" w:hAnsi="Arial"/>
                <w:sz w:val="18"/>
              </w:rPr>
              <w:t xml:space="preserve">Medication: </w:t>
            </w:r>
            <w:proofErr w:type="spellStart"/>
            <w:r w:rsidR="009B013A" w:rsidRPr="009B013A">
              <w:rPr>
                <w:sz w:val="22"/>
              </w:rPr>
              <w:t>Tranxene</w:t>
            </w:r>
            <w:proofErr w:type="spellEnd"/>
            <w:r w:rsidR="009B013A" w:rsidRPr="009B013A">
              <w:rPr>
                <w:sz w:val="22"/>
              </w:rPr>
              <w:t>® – (clorazepate)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48D6111E"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9B013A" w:rsidRPr="009B013A">
              <w:rPr>
                <w:rFonts w:cs="Arial"/>
                <w:b w:val="0"/>
                <w:bCs/>
                <w:sz w:val="18"/>
                <w:szCs w:val="18"/>
              </w:rPr>
              <w:t>drowsiness</w:t>
            </w:r>
            <w:proofErr w:type="gramEnd"/>
            <w:r w:rsidR="009B013A" w:rsidRPr="009B013A">
              <w:rPr>
                <w:rFonts w:cs="Arial"/>
                <w:b w:val="0"/>
                <w:bCs/>
                <w:sz w:val="18"/>
                <w:szCs w:val="18"/>
              </w:rPr>
              <w:t>, dizziness.</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5C2E1387" w:rsidR="003379BD" w:rsidRDefault="003379BD" w:rsidP="009B013A">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9B013A" w:rsidRPr="009B013A">
              <w:rPr>
                <w:rFonts w:ascii="Arial" w:hAnsi="Arial" w:cs="Arial"/>
                <w:sz w:val="18"/>
                <w:szCs w:val="18"/>
              </w:rPr>
              <w:t>gastrointestinal</w:t>
            </w:r>
            <w:proofErr w:type="gramEnd"/>
            <w:r w:rsidR="009B013A" w:rsidRPr="009B013A">
              <w:rPr>
                <w:rFonts w:ascii="Arial" w:hAnsi="Arial" w:cs="Arial"/>
                <w:sz w:val="18"/>
                <w:szCs w:val="18"/>
              </w:rPr>
              <w:t xml:space="preserve"> complaints, nervousness, blurred vision, dry mouth, headache, and mental confusion</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77777777" w:rsidR="003379BD" w:rsidRDefault="003379BD" w:rsidP="006A6CDD">
            <w:pPr>
              <w:rPr>
                <w:b/>
              </w:rPr>
            </w:pPr>
            <w:r>
              <w:rPr>
                <w:rFonts w:ascii="Arial" w:hAnsi="Arial"/>
                <w:b/>
                <w:sz w:val="18"/>
              </w:rPr>
              <w:t>Rare Side Effects</w:t>
            </w:r>
            <w:r>
              <w:t xml:space="preserve">  </w:t>
            </w:r>
            <w:r w:rsidR="006A6CDD" w:rsidRPr="009B013A">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9B013A">
              <w:rPr>
                <w:rFonts w:ascii="Arial" w:hAnsi="Arial" w:cs="Arial"/>
                <w:sz w:val="18"/>
                <w:szCs w:val="18"/>
              </w:rPr>
              <w:instrText xml:space="preserve"> FORMTEXT </w:instrText>
            </w:r>
            <w:r w:rsidR="006A6CDD" w:rsidRPr="009B013A">
              <w:rPr>
                <w:rFonts w:ascii="Arial" w:hAnsi="Arial" w:cs="Arial"/>
                <w:sz w:val="18"/>
                <w:szCs w:val="18"/>
              </w:rPr>
            </w:r>
            <w:r w:rsidR="006A6CDD" w:rsidRPr="009B013A">
              <w:rPr>
                <w:rFonts w:ascii="Arial" w:hAnsi="Arial" w:cs="Arial"/>
                <w:sz w:val="18"/>
                <w:szCs w:val="18"/>
              </w:rPr>
              <w:fldChar w:fldCharType="separate"/>
            </w:r>
            <w:r w:rsidR="006A6CDD" w:rsidRPr="009B013A">
              <w:rPr>
                <w:rFonts w:ascii="Arial" w:hAnsi="Arial" w:cs="Arial"/>
                <w:noProof/>
                <w:sz w:val="18"/>
                <w:szCs w:val="18"/>
              </w:rPr>
              <w:t> </w:t>
            </w:r>
            <w:r w:rsidR="006A6CDD" w:rsidRPr="009B013A">
              <w:rPr>
                <w:rFonts w:ascii="Arial" w:hAnsi="Arial" w:cs="Arial"/>
                <w:noProof/>
                <w:sz w:val="18"/>
                <w:szCs w:val="18"/>
              </w:rPr>
              <w:t> </w:t>
            </w:r>
            <w:r w:rsidR="006A6CDD" w:rsidRPr="009B013A">
              <w:rPr>
                <w:rFonts w:ascii="Arial" w:hAnsi="Arial" w:cs="Arial"/>
                <w:noProof/>
                <w:sz w:val="18"/>
                <w:szCs w:val="18"/>
              </w:rPr>
              <w:t> </w:t>
            </w:r>
            <w:r w:rsidR="006A6CDD" w:rsidRPr="009B013A">
              <w:rPr>
                <w:rFonts w:ascii="Arial" w:hAnsi="Arial" w:cs="Arial"/>
                <w:noProof/>
                <w:sz w:val="18"/>
                <w:szCs w:val="18"/>
              </w:rPr>
              <w:t> </w:t>
            </w:r>
            <w:r w:rsidR="006A6CDD" w:rsidRPr="009B013A">
              <w:rPr>
                <w:rFonts w:ascii="Arial" w:hAnsi="Arial" w:cs="Arial"/>
                <w:noProof/>
                <w:sz w:val="18"/>
                <w:szCs w:val="18"/>
              </w:rPr>
              <w:t> </w:t>
            </w:r>
            <w:r w:rsidR="006A6CDD" w:rsidRPr="009B013A">
              <w:rPr>
                <w:rFonts w:ascii="Arial" w:hAnsi="Arial" w:cs="Arial"/>
                <w:sz w:val="18"/>
                <w:szCs w:val="18"/>
              </w:rPr>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264D5D0D" w14:textId="77777777" w:rsidR="009B013A" w:rsidRDefault="003379BD" w:rsidP="009B013A">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4D336112" w14:textId="4ED040A8" w:rsidR="009B013A" w:rsidRP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 xml:space="preserve">Precautions: </w:t>
            </w:r>
          </w:p>
          <w:p w14:paraId="471FBBBE"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Access: FDA is advising that the opioid addiction medications buprenorphine or methadone should not be withheld from patients taking benzodiazepines or other drugs that depress the central nervous system (CNS). The combined use of these drugs increases the risk of serious side effects; however, the harm caused by untreated opioid addiction can outweigh these risks. Careful medication management by health care professionals can reduce these risks.</w:t>
            </w:r>
          </w:p>
          <w:p w14:paraId="329F449A" w14:textId="77777777" w:rsidR="009B013A" w:rsidRPr="009B013A" w:rsidRDefault="009B013A" w:rsidP="009B013A">
            <w:pPr>
              <w:rPr>
                <w:rFonts w:ascii="Arial" w:hAnsi="Arial" w:cs="Arial"/>
                <w:snapToGrid w:val="0"/>
                <w:color w:val="000000"/>
                <w:sz w:val="18"/>
                <w:szCs w:val="18"/>
              </w:rPr>
            </w:pPr>
          </w:p>
          <w:p w14:paraId="27723773"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Concomitant use: Avoid use with other CNS depressants.</w:t>
            </w:r>
          </w:p>
          <w:p w14:paraId="5A47F47B" w14:textId="77777777" w:rsidR="009B013A" w:rsidRPr="009B013A" w:rsidRDefault="009B013A" w:rsidP="009B013A">
            <w:pPr>
              <w:rPr>
                <w:rFonts w:ascii="Arial" w:hAnsi="Arial" w:cs="Arial"/>
                <w:snapToGrid w:val="0"/>
                <w:color w:val="000000"/>
                <w:sz w:val="18"/>
                <w:szCs w:val="18"/>
              </w:rPr>
            </w:pPr>
          </w:p>
          <w:p w14:paraId="63C5FEEE"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Hepatic: Use caution in patients with impaired hepatic function.</w:t>
            </w:r>
          </w:p>
          <w:p w14:paraId="2805CFEC" w14:textId="77777777" w:rsidR="009B013A" w:rsidRPr="009B013A" w:rsidRDefault="009B013A" w:rsidP="009B013A">
            <w:pPr>
              <w:rPr>
                <w:rFonts w:ascii="Arial" w:hAnsi="Arial" w:cs="Arial"/>
                <w:snapToGrid w:val="0"/>
                <w:color w:val="000000"/>
                <w:sz w:val="18"/>
                <w:szCs w:val="18"/>
              </w:rPr>
            </w:pPr>
          </w:p>
          <w:p w14:paraId="3DD1ED97"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Neurologic: Interference with psychomotor performance may occur; use caution when engaging in hazardous occupations requiring mental alertness (</w:t>
            </w:r>
            <w:proofErr w:type="spellStart"/>
            <w:r w:rsidRPr="009B013A">
              <w:rPr>
                <w:rFonts w:ascii="Arial" w:hAnsi="Arial" w:cs="Arial"/>
                <w:snapToGrid w:val="0"/>
                <w:color w:val="000000"/>
                <w:sz w:val="18"/>
                <w:szCs w:val="18"/>
              </w:rPr>
              <w:t>eg</w:t>
            </w:r>
            <w:proofErr w:type="spellEnd"/>
            <w:r w:rsidRPr="009B013A">
              <w:rPr>
                <w:rFonts w:ascii="Arial" w:hAnsi="Arial" w:cs="Arial"/>
                <w:snapToGrid w:val="0"/>
                <w:color w:val="000000"/>
                <w:sz w:val="18"/>
                <w:szCs w:val="18"/>
              </w:rPr>
              <w:t>, operating dangerous machinery including motor vehicles). Ataxia or excessive sedation may occur in elderly or debilitated patients; dosage adjustments and monitoring recommended.</w:t>
            </w:r>
          </w:p>
          <w:p w14:paraId="4AAF2106" w14:textId="77777777" w:rsidR="009B013A" w:rsidRPr="009B013A" w:rsidRDefault="009B013A" w:rsidP="009B013A">
            <w:pPr>
              <w:rPr>
                <w:rFonts w:ascii="Arial" w:hAnsi="Arial" w:cs="Arial"/>
                <w:snapToGrid w:val="0"/>
                <w:color w:val="000000"/>
                <w:sz w:val="18"/>
                <w:szCs w:val="18"/>
              </w:rPr>
            </w:pPr>
          </w:p>
          <w:p w14:paraId="3994A0BC"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 xml:space="preserve">Psychiatric: Use not recommended in depressive neuroses or psychotic reactions. Increased risk of suicidal thoughts or behavior has been </w:t>
            </w:r>
            <w:proofErr w:type="gramStart"/>
            <w:r w:rsidRPr="009B013A">
              <w:rPr>
                <w:rFonts w:ascii="Arial" w:hAnsi="Arial" w:cs="Arial"/>
                <w:snapToGrid w:val="0"/>
                <w:color w:val="000000"/>
                <w:sz w:val="18"/>
                <w:szCs w:val="18"/>
              </w:rPr>
              <w:t>reported;</w:t>
            </w:r>
            <w:proofErr w:type="gramEnd"/>
            <w:r w:rsidRPr="009B013A">
              <w:rPr>
                <w:rFonts w:ascii="Arial" w:hAnsi="Arial" w:cs="Arial"/>
                <w:snapToGrid w:val="0"/>
                <w:color w:val="000000"/>
                <w:sz w:val="18"/>
                <w:szCs w:val="18"/>
              </w:rPr>
              <w:t xml:space="preserve"> monitoring recommended. Use with caution for treatment of anxiety when there is any evidence of impending depression as suicidal tendencies may occur; protective measures may be necessary.</w:t>
            </w:r>
          </w:p>
          <w:p w14:paraId="0702D627" w14:textId="77777777" w:rsidR="009B013A" w:rsidRPr="009B013A" w:rsidRDefault="009B013A" w:rsidP="009B013A">
            <w:pPr>
              <w:rPr>
                <w:rFonts w:ascii="Arial" w:hAnsi="Arial" w:cs="Arial"/>
                <w:snapToGrid w:val="0"/>
                <w:color w:val="000000"/>
                <w:sz w:val="18"/>
                <w:szCs w:val="18"/>
              </w:rPr>
            </w:pPr>
          </w:p>
          <w:p w14:paraId="15E70ED6"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Renal: Use caution in patients with impaired renal function.</w:t>
            </w:r>
          </w:p>
          <w:p w14:paraId="728B89D4" w14:textId="77777777" w:rsidR="009B013A" w:rsidRPr="009B013A" w:rsidRDefault="009B013A" w:rsidP="009B013A">
            <w:pPr>
              <w:rPr>
                <w:rFonts w:ascii="Arial" w:hAnsi="Arial" w:cs="Arial"/>
                <w:snapToGrid w:val="0"/>
                <w:color w:val="000000"/>
                <w:sz w:val="18"/>
                <w:szCs w:val="18"/>
              </w:rPr>
            </w:pPr>
          </w:p>
          <w:p w14:paraId="5C30E69B"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Reproductive: Use during the later stages of pregnancy can result in neonatal sedation (</w:t>
            </w:r>
            <w:proofErr w:type="spellStart"/>
            <w:r w:rsidRPr="009B013A">
              <w:rPr>
                <w:rFonts w:ascii="Arial" w:hAnsi="Arial" w:cs="Arial"/>
                <w:snapToGrid w:val="0"/>
                <w:color w:val="000000"/>
                <w:sz w:val="18"/>
                <w:szCs w:val="18"/>
              </w:rPr>
              <w:t>eg</w:t>
            </w:r>
            <w:proofErr w:type="spellEnd"/>
            <w:r w:rsidRPr="009B013A">
              <w:rPr>
                <w:rFonts w:ascii="Arial" w:hAnsi="Arial" w:cs="Arial"/>
                <w:snapToGrid w:val="0"/>
                <w:color w:val="000000"/>
                <w:sz w:val="18"/>
                <w:szCs w:val="18"/>
              </w:rPr>
              <w:t>, respiratory depression, lethargy, hypotonia) and neonatal withdrawal syndrome (</w:t>
            </w:r>
            <w:proofErr w:type="spellStart"/>
            <w:r w:rsidRPr="009B013A">
              <w:rPr>
                <w:rFonts w:ascii="Arial" w:hAnsi="Arial" w:cs="Arial"/>
                <w:snapToGrid w:val="0"/>
                <w:color w:val="000000"/>
                <w:sz w:val="18"/>
                <w:szCs w:val="18"/>
              </w:rPr>
              <w:t>eg</w:t>
            </w:r>
            <w:proofErr w:type="spellEnd"/>
            <w:r w:rsidRPr="009B013A">
              <w:rPr>
                <w:rFonts w:ascii="Arial" w:hAnsi="Arial" w:cs="Arial"/>
                <w:snapToGrid w:val="0"/>
                <w:color w:val="000000"/>
                <w:sz w:val="18"/>
                <w:szCs w:val="18"/>
              </w:rPr>
              <w:t xml:space="preserve">, hyperreflexia, irritability, restlessness, tremors, inconsolable crying, and feeding difficulties); monitoring </w:t>
            </w:r>
            <w:proofErr w:type="gramStart"/>
            <w:r w:rsidRPr="009B013A">
              <w:rPr>
                <w:rFonts w:ascii="Arial" w:hAnsi="Arial" w:cs="Arial"/>
                <w:snapToGrid w:val="0"/>
                <w:color w:val="000000"/>
                <w:sz w:val="18"/>
                <w:szCs w:val="18"/>
              </w:rPr>
              <w:t>required</w:t>
            </w:r>
            <w:proofErr w:type="gramEnd"/>
            <w:r w:rsidRPr="009B013A">
              <w:rPr>
                <w:rFonts w:ascii="Arial" w:hAnsi="Arial" w:cs="Arial"/>
                <w:snapToGrid w:val="0"/>
                <w:color w:val="000000"/>
                <w:sz w:val="18"/>
                <w:szCs w:val="18"/>
              </w:rPr>
              <w:t xml:space="preserve"> and medical management may be necessary.</w:t>
            </w:r>
          </w:p>
          <w:p w14:paraId="49EB7C6F" w14:textId="77777777" w:rsidR="009B013A" w:rsidRPr="009B013A" w:rsidRDefault="009B013A" w:rsidP="009B013A">
            <w:pPr>
              <w:rPr>
                <w:rFonts w:ascii="Arial" w:hAnsi="Arial" w:cs="Arial"/>
                <w:snapToGrid w:val="0"/>
                <w:color w:val="000000"/>
                <w:sz w:val="18"/>
                <w:szCs w:val="18"/>
              </w:rPr>
            </w:pPr>
          </w:p>
          <w:p w14:paraId="5B0BB15B"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Avoid concomitant use of 3 or more CNS-active agents in any combination due to increased risk of falls and fractures. Avoid concomitant use of any opioid due to increased risk of overdose.</w:t>
            </w:r>
          </w:p>
          <w:p w14:paraId="3D0C0BA8" w14:textId="77777777" w:rsidR="009B013A" w:rsidRPr="009B013A" w:rsidRDefault="009B013A" w:rsidP="009B013A">
            <w:pPr>
              <w:rPr>
                <w:rFonts w:ascii="Arial" w:hAnsi="Arial" w:cs="Arial"/>
                <w:snapToGrid w:val="0"/>
                <w:color w:val="000000"/>
                <w:sz w:val="18"/>
                <w:szCs w:val="18"/>
              </w:rPr>
            </w:pPr>
          </w:p>
          <w:p w14:paraId="6A9FE339" w14:textId="77777777" w:rsid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Pediatrics: Use not recommended in pediatric patients younger than 9 years of age.</w:t>
            </w:r>
          </w:p>
          <w:p w14:paraId="220369E1" w14:textId="77777777" w:rsidR="009B013A" w:rsidRPr="009B013A" w:rsidRDefault="009B013A" w:rsidP="009B013A">
            <w:pPr>
              <w:rPr>
                <w:rFonts w:ascii="Arial" w:hAnsi="Arial" w:cs="Arial"/>
                <w:snapToGrid w:val="0"/>
                <w:color w:val="000000"/>
                <w:sz w:val="18"/>
                <w:szCs w:val="18"/>
              </w:rPr>
            </w:pPr>
          </w:p>
          <w:p w14:paraId="12DCE284" w14:textId="77777777" w:rsidR="009B013A" w:rsidRP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Withdrawal: A protracted withdrawal syndrome with symptoms lasting weeks to more than 12 months has been reported in patients taking benzodiazepines.</w:t>
            </w:r>
          </w:p>
          <w:p w14:paraId="21CE678A" w14:textId="3EEAAF81" w:rsidR="003379BD" w:rsidRDefault="003379BD" w:rsidP="00846953">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551E3EBF" w14:textId="77777777" w:rsidR="009B013A" w:rsidRDefault="003379BD" w:rsidP="009B013A">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49DB4BDC" w14:textId="0BCC43CE" w:rsidR="009B013A" w:rsidRP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 xml:space="preserve">Black Box Warning: </w:t>
            </w:r>
            <w:r w:rsidRPr="009B013A">
              <w:rPr>
                <w:rFonts w:ascii="Arial" w:hAnsi="Arial" w:cs="Arial"/>
                <w:snapToGrid w:val="0"/>
                <w:color w:val="000000"/>
                <w:sz w:val="18"/>
                <w:szCs w:val="18"/>
              </w:rPr>
              <w:t>Oral (Tablet)</w:t>
            </w:r>
          </w:p>
          <w:p w14:paraId="7CFA1913" w14:textId="77777777" w:rsidR="009B013A" w:rsidRP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Risks from Concomitant Use with Opioids; Abuse, Misuse, and Addiction; and Dependence and Withdrawal Reactions</w:t>
            </w:r>
          </w:p>
          <w:p w14:paraId="21A0EC29" w14:textId="77777777" w:rsidR="009B013A" w:rsidRPr="009B013A" w:rsidRDefault="009B013A" w:rsidP="009B013A">
            <w:pPr>
              <w:rPr>
                <w:rFonts w:ascii="Arial" w:hAnsi="Arial" w:cs="Arial"/>
                <w:snapToGrid w:val="0"/>
                <w:color w:val="000000"/>
                <w:sz w:val="18"/>
                <w:szCs w:val="18"/>
              </w:rPr>
            </w:pPr>
            <w:r w:rsidRPr="009B013A">
              <w:rPr>
                <w:rFonts w:ascii="Arial" w:hAnsi="Arial" w:cs="Arial"/>
                <w:snapToGrid w:val="0"/>
                <w:color w:val="000000"/>
                <w:sz w:val="18"/>
                <w:szCs w:val="18"/>
              </w:rPr>
              <w:t>Concomitant use of benzodiazepines and opioids may result in profound sedation, respiratory depression, coma, and death. Reserve concomitant prescribing of these drugs in patients for whom alternative treatment options are inadequate. Limit dosages and durations to the minimum required. Follow patients for signs and symptoms of respiratory depression and sedation. The use of benzodiazepines, including clorazepate, exposes users to risks of abuse, misuse, and addiction, which can lead to overdose or death. Abuse and misuse of benzodiazepines commonly involve concomitant use of other medications, alcohol, and/or illicit substances, which is associated with an increased frequency of serious adverse outcomes. Before prescribing clorazepate and throughout treatment, assess each patient’s risk for abuse, misuse, and addiction. The continued use of benzodiazepines, including clorazepate, may lead to clinically significant physical dependence. The risks of dependence and withdrawal increase with longer treatment duration and higher daily dose. Abrupt discontinuation or rapid dosage reduction of clorazepate after continued use may precipitate acute withdrawal reactions, which can be life-threatening. To reduce the risk of withdrawal reactions, use a gradual taper to discontinue clorazepate or reduce the dosage.</w:t>
            </w:r>
          </w:p>
          <w:p w14:paraId="34CC3FEB" w14:textId="359096EB" w:rsidR="003379BD" w:rsidRDefault="003379BD" w:rsidP="00846953">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lastRenderedPageBreak/>
              <w:t>Syndrome Note</w:t>
            </w:r>
            <w:r>
              <w:rPr>
                <w:rFonts w:ascii="Arial" w:hAnsi="Arial"/>
                <w:b/>
                <w:snapToGrid w:val="0"/>
                <w:color w:val="000000"/>
                <w:sz w:val="16"/>
              </w:rPr>
              <w:t xml:space="preserve">  </w:t>
            </w:r>
            <w:r w:rsidR="006A6CDD" w:rsidRPr="009B013A">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9B013A">
              <w:rPr>
                <w:rFonts w:ascii="Arial" w:hAnsi="Arial" w:cs="Arial"/>
                <w:snapToGrid w:val="0"/>
                <w:color w:val="000000"/>
                <w:sz w:val="18"/>
                <w:szCs w:val="18"/>
              </w:rPr>
              <w:instrText xml:space="preserve"> FORMTEXT </w:instrText>
            </w:r>
            <w:r w:rsidR="006A6CDD" w:rsidRPr="009B013A">
              <w:rPr>
                <w:rFonts w:ascii="Arial" w:hAnsi="Arial" w:cs="Arial"/>
                <w:snapToGrid w:val="0"/>
                <w:color w:val="000000"/>
                <w:sz w:val="18"/>
                <w:szCs w:val="18"/>
              </w:rPr>
            </w:r>
            <w:r w:rsidR="006A6CDD" w:rsidRPr="009B013A">
              <w:rPr>
                <w:rFonts w:ascii="Arial" w:hAnsi="Arial" w:cs="Arial"/>
                <w:snapToGrid w:val="0"/>
                <w:color w:val="000000"/>
                <w:sz w:val="18"/>
                <w:szCs w:val="18"/>
              </w:rPr>
              <w:fldChar w:fldCharType="separate"/>
            </w:r>
            <w:r w:rsidR="006A6CDD" w:rsidRPr="009B013A">
              <w:rPr>
                <w:rFonts w:ascii="Arial" w:hAnsi="Arial" w:cs="Arial"/>
                <w:noProof/>
                <w:snapToGrid w:val="0"/>
                <w:color w:val="000000"/>
                <w:sz w:val="18"/>
                <w:szCs w:val="18"/>
              </w:rPr>
              <w:t> </w:t>
            </w:r>
            <w:r w:rsidR="006A6CDD" w:rsidRPr="009B013A">
              <w:rPr>
                <w:rFonts w:ascii="Arial" w:hAnsi="Arial" w:cs="Arial"/>
                <w:noProof/>
                <w:snapToGrid w:val="0"/>
                <w:color w:val="000000"/>
                <w:sz w:val="18"/>
                <w:szCs w:val="18"/>
              </w:rPr>
              <w:t> </w:t>
            </w:r>
            <w:r w:rsidR="006A6CDD" w:rsidRPr="009B013A">
              <w:rPr>
                <w:rFonts w:ascii="Arial" w:hAnsi="Arial" w:cs="Arial"/>
                <w:noProof/>
                <w:snapToGrid w:val="0"/>
                <w:color w:val="000000"/>
                <w:sz w:val="18"/>
                <w:szCs w:val="18"/>
              </w:rPr>
              <w:t> </w:t>
            </w:r>
            <w:r w:rsidR="006A6CDD" w:rsidRPr="009B013A">
              <w:rPr>
                <w:rFonts w:ascii="Arial" w:hAnsi="Arial" w:cs="Arial"/>
                <w:noProof/>
                <w:snapToGrid w:val="0"/>
                <w:color w:val="000000"/>
                <w:sz w:val="18"/>
                <w:szCs w:val="18"/>
              </w:rPr>
              <w:t> </w:t>
            </w:r>
            <w:r w:rsidR="006A6CDD" w:rsidRPr="009B013A">
              <w:rPr>
                <w:rFonts w:ascii="Arial" w:hAnsi="Arial" w:cs="Arial"/>
                <w:noProof/>
                <w:snapToGrid w:val="0"/>
                <w:color w:val="000000"/>
                <w:sz w:val="18"/>
                <w:szCs w:val="18"/>
              </w:rPr>
              <w:t> </w:t>
            </w:r>
            <w:r w:rsidR="006A6CDD" w:rsidRPr="009B013A">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E60133">
              <w:rPr>
                <w:rFonts w:ascii="Arial" w:hAnsi="Arial"/>
                <w:sz w:val="18"/>
              </w:rPr>
            </w:r>
            <w:r w:rsidR="00E60133">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6F71" w14:textId="77777777" w:rsidR="003A2B15" w:rsidRDefault="003A2B15" w:rsidP="007A6FC3">
      <w:r>
        <w:separator/>
      </w:r>
    </w:p>
  </w:endnote>
  <w:endnote w:type="continuationSeparator" w:id="0">
    <w:p w14:paraId="0DABCD93" w14:textId="77777777" w:rsidR="003A2B15" w:rsidRDefault="003A2B15"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AAB" w14:textId="77777777" w:rsidR="003A2B15" w:rsidRDefault="003A2B15" w:rsidP="007A6FC3">
      <w:r>
        <w:separator/>
      </w:r>
    </w:p>
  </w:footnote>
  <w:footnote w:type="continuationSeparator" w:id="0">
    <w:p w14:paraId="4E1291BC" w14:textId="77777777" w:rsidR="003A2B15" w:rsidRDefault="003A2B15"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75ZFPJTQWu2+Pt642yvVSnHK/I8YZ2zn6Dc9/rvdi8JYVzf9FurCiV4Ih/f7wGUEx+uXXY6Kk2xHWCG5h+u8g==" w:salt="Mph4TiyXVK7Zg9HLIcUQB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27AB"/>
    <w:rsid w:val="00065117"/>
    <w:rsid w:val="00070550"/>
    <w:rsid w:val="00082C72"/>
    <w:rsid w:val="00097390"/>
    <w:rsid w:val="000D55C9"/>
    <w:rsid w:val="00101422"/>
    <w:rsid w:val="0018307F"/>
    <w:rsid w:val="0021563E"/>
    <w:rsid w:val="002348E1"/>
    <w:rsid w:val="00295B89"/>
    <w:rsid w:val="00311731"/>
    <w:rsid w:val="0031599E"/>
    <w:rsid w:val="003379BD"/>
    <w:rsid w:val="00353261"/>
    <w:rsid w:val="003A15FD"/>
    <w:rsid w:val="003A2B15"/>
    <w:rsid w:val="003B70D9"/>
    <w:rsid w:val="003C244A"/>
    <w:rsid w:val="003D356D"/>
    <w:rsid w:val="003E29B2"/>
    <w:rsid w:val="003F6682"/>
    <w:rsid w:val="004553BF"/>
    <w:rsid w:val="0047002C"/>
    <w:rsid w:val="004C2872"/>
    <w:rsid w:val="004D379B"/>
    <w:rsid w:val="004F51DC"/>
    <w:rsid w:val="005325D4"/>
    <w:rsid w:val="00546EF3"/>
    <w:rsid w:val="005508EB"/>
    <w:rsid w:val="0056414C"/>
    <w:rsid w:val="005A70E2"/>
    <w:rsid w:val="005E68D2"/>
    <w:rsid w:val="005F3D5E"/>
    <w:rsid w:val="00606B81"/>
    <w:rsid w:val="00621771"/>
    <w:rsid w:val="0064565E"/>
    <w:rsid w:val="00653309"/>
    <w:rsid w:val="00683097"/>
    <w:rsid w:val="006A6CDD"/>
    <w:rsid w:val="006B7A42"/>
    <w:rsid w:val="006D4AAF"/>
    <w:rsid w:val="007361BB"/>
    <w:rsid w:val="00775C94"/>
    <w:rsid w:val="007A6FC3"/>
    <w:rsid w:val="007F44C1"/>
    <w:rsid w:val="007F5B69"/>
    <w:rsid w:val="00846953"/>
    <w:rsid w:val="008E0D37"/>
    <w:rsid w:val="00916D82"/>
    <w:rsid w:val="00927055"/>
    <w:rsid w:val="00934FD5"/>
    <w:rsid w:val="00982F10"/>
    <w:rsid w:val="009B013A"/>
    <w:rsid w:val="00A05C70"/>
    <w:rsid w:val="00A60207"/>
    <w:rsid w:val="00A77B69"/>
    <w:rsid w:val="00AA7ED4"/>
    <w:rsid w:val="00AB1650"/>
    <w:rsid w:val="00B23CEC"/>
    <w:rsid w:val="00B47C64"/>
    <w:rsid w:val="00B82162"/>
    <w:rsid w:val="00B83999"/>
    <w:rsid w:val="00B93D5B"/>
    <w:rsid w:val="00C04DA7"/>
    <w:rsid w:val="00C7099D"/>
    <w:rsid w:val="00C93982"/>
    <w:rsid w:val="00CA71B6"/>
    <w:rsid w:val="00CA7C90"/>
    <w:rsid w:val="00CC7A80"/>
    <w:rsid w:val="00D20CC9"/>
    <w:rsid w:val="00DF0FF9"/>
    <w:rsid w:val="00E01AAD"/>
    <w:rsid w:val="00E02750"/>
    <w:rsid w:val="00E60133"/>
    <w:rsid w:val="00E7205C"/>
    <w:rsid w:val="00EA1297"/>
    <w:rsid w:val="00EB22F8"/>
    <w:rsid w:val="00EE5A08"/>
    <w:rsid w:val="00EF5F71"/>
    <w:rsid w:val="00F55DC4"/>
    <w:rsid w:val="00FC7320"/>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1671</Words>
  <Characters>9627</Characters>
  <Application>Microsoft Office Word</Application>
  <DocSecurity>0</DocSecurity>
  <Lines>204</Lines>
  <Paragraphs>150</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2024-09-05T20:19:00Z</dcterms:created>
  <dcterms:modified xsi:type="dcterms:W3CDTF">2024-09-05T20:19:00Z</dcterms:modified>
</cp:coreProperties>
</file>