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43F76DB5"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rsidTr="002E3BE2">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rsidTr="002E3BE2">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rsidTr="002E3BE2">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2E3BE2">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2E3BE2">
        <w:trPr>
          <w:cantSplit/>
        </w:trPr>
        <w:tc>
          <w:tcPr>
            <w:tcW w:w="3168" w:type="dxa"/>
            <w:tcBorders>
              <w:top w:val="single" w:sz="4" w:space="0" w:color="auto"/>
              <w:left w:val="nil"/>
              <w:bottom w:val="single" w:sz="4" w:space="0" w:color="auto"/>
            </w:tcBorders>
            <w:vAlign w:val="center"/>
          </w:tcPr>
          <w:p w14:paraId="46FCC49F" w14:textId="77777777" w:rsidR="002E3BE2" w:rsidRPr="002E3BE2" w:rsidRDefault="002E3BE2" w:rsidP="002E3BE2">
            <w:pPr>
              <w:rPr>
                <w:sz w:val="22"/>
              </w:rPr>
            </w:pPr>
            <w:r w:rsidRPr="002E3BE2">
              <w:rPr>
                <w:sz w:val="22"/>
              </w:rPr>
              <w:t>Antihistamine (sedative,</w:t>
            </w:r>
          </w:p>
          <w:p w14:paraId="3939FA54" w14:textId="6A0FE0B3" w:rsidR="003379BD" w:rsidRDefault="002E3BE2" w:rsidP="002E3BE2">
            <w:pPr>
              <w:rPr>
                <w:sz w:val="22"/>
              </w:rPr>
            </w:pPr>
            <w:r w:rsidRPr="002E3BE2">
              <w:rPr>
                <w:sz w:val="22"/>
              </w:rPr>
              <w:t>antianxiety)</w:t>
            </w:r>
          </w:p>
        </w:tc>
        <w:tc>
          <w:tcPr>
            <w:tcW w:w="3420" w:type="dxa"/>
            <w:gridSpan w:val="5"/>
            <w:tcBorders>
              <w:top w:val="single" w:sz="4" w:space="0" w:color="auto"/>
              <w:bottom w:val="single" w:sz="4" w:space="0" w:color="auto"/>
              <w:right w:val="nil"/>
            </w:tcBorders>
          </w:tcPr>
          <w:p w14:paraId="24CB1EC6" w14:textId="0455056D" w:rsidR="002E3BE2" w:rsidRPr="002E3BE2" w:rsidRDefault="002E3BE2" w:rsidP="002E3BE2">
            <w:pPr>
              <w:rPr>
                <w:sz w:val="22"/>
              </w:rPr>
            </w:pPr>
            <w:r w:rsidRPr="002E3BE2">
              <w:rPr>
                <w:sz w:val="22"/>
              </w:rPr>
              <w:t>- Atarax® (hydroxyzine</w:t>
            </w:r>
            <w:r>
              <w:rPr>
                <w:sz w:val="22"/>
              </w:rPr>
              <w:t xml:space="preserve"> </w:t>
            </w:r>
            <w:r w:rsidRPr="002E3BE2">
              <w:rPr>
                <w:sz w:val="22"/>
              </w:rPr>
              <w:t>hydrochloride)</w:t>
            </w:r>
          </w:p>
          <w:p w14:paraId="1F68549E" w14:textId="77777777" w:rsidR="002E3BE2" w:rsidRPr="002E3BE2" w:rsidRDefault="002E3BE2" w:rsidP="002E3BE2">
            <w:pPr>
              <w:rPr>
                <w:sz w:val="22"/>
              </w:rPr>
            </w:pPr>
            <w:r w:rsidRPr="002E3BE2">
              <w:rPr>
                <w:sz w:val="22"/>
              </w:rPr>
              <w:t>- Vistaril® (oral, IM)</w:t>
            </w:r>
          </w:p>
          <w:p w14:paraId="7A26C4B6" w14:textId="0082FE34" w:rsidR="003379BD" w:rsidRDefault="002E3BE2" w:rsidP="002E3BE2">
            <w:pPr>
              <w:tabs>
                <w:tab w:val="left" w:pos="702"/>
                <w:tab w:val="left" w:pos="882"/>
                <w:tab w:val="left" w:pos="1152"/>
                <w:tab w:val="left" w:pos="1602"/>
              </w:tabs>
              <w:rPr>
                <w:sz w:val="22"/>
              </w:rPr>
            </w:pPr>
            <w:r w:rsidRPr="002E3BE2">
              <w:rPr>
                <w:sz w:val="22"/>
              </w:rPr>
              <w:t>(hydroxyzine pamoate)</w:t>
            </w:r>
          </w:p>
        </w:tc>
        <w:tc>
          <w:tcPr>
            <w:tcW w:w="3420" w:type="dxa"/>
            <w:gridSpan w:val="3"/>
            <w:tcBorders>
              <w:top w:val="single" w:sz="4" w:space="0" w:color="auto"/>
              <w:bottom w:val="single" w:sz="4" w:space="0" w:color="auto"/>
              <w:right w:val="nil"/>
            </w:tcBorders>
            <w:vAlign w:val="center"/>
          </w:tcPr>
          <w:p w14:paraId="37095A40" w14:textId="77777777" w:rsidR="002E3BE2" w:rsidRPr="002E3BE2" w:rsidRDefault="002E3BE2" w:rsidP="002E3BE2">
            <w:pPr>
              <w:tabs>
                <w:tab w:val="left" w:pos="702"/>
                <w:tab w:val="left" w:pos="882"/>
                <w:tab w:val="left" w:pos="1152"/>
                <w:tab w:val="left" w:pos="1602"/>
              </w:tabs>
              <w:rPr>
                <w:sz w:val="22"/>
              </w:rPr>
            </w:pPr>
            <w:r w:rsidRPr="002E3BE2">
              <w:rPr>
                <w:sz w:val="22"/>
              </w:rPr>
              <w:t>- Oral: 25 mg – 400 mg</w:t>
            </w:r>
          </w:p>
          <w:p w14:paraId="3C5583EA" w14:textId="7CD81825" w:rsidR="003379BD" w:rsidRDefault="002E3BE2" w:rsidP="002E3BE2">
            <w:pPr>
              <w:tabs>
                <w:tab w:val="left" w:pos="702"/>
                <w:tab w:val="left" w:pos="882"/>
                <w:tab w:val="left" w:pos="1152"/>
                <w:tab w:val="left" w:pos="1602"/>
              </w:tabs>
              <w:rPr>
                <w:sz w:val="22"/>
              </w:rPr>
            </w:pPr>
            <w:r w:rsidRPr="002E3BE2">
              <w:rPr>
                <w:sz w:val="22"/>
              </w:rPr>
              <w:t>- Injectable: 25 mg – 400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2E3BE2">
        <w:trPr>
          <w:cantSplit/>
          <w:trHeight w:val="1133"/>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F3FCA">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F3FCA">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F3FCA">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rsidTr="002E3BE2">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2E3BE2">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rsidTr="002E3BE2">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rsidTr="002E3BE2">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rsidTr="002E3BE2">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rsidTr="002E3BE2">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2E3BE2">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149986D8" w14:textId="77777777" w:rsidTr="002E3BE2">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2E3BE2">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F3FCA">
              <w:rPr>
                <w:b w:val="0"/>
              </w:rPr>
            </w:r>
            <w:r w:rsidR="001F3FCA">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F3FCA">
              <w:rPr>
                <w:b w:val="0"/>
              </w:rPr>
            </w:r>
            <w:r w:rsidR="001F3FCA">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F3FCA">
              <w:rPr>
                <w:b w:val="0"/>
              </w:rPr>
            </w:r>
            <w:r w:rsidR="001F3FCA">
              <w:rPr>
                <w:b w:val="0"/>
              </w:rPr>
              <w:fldChar w:fldCharType="separate"/>
            </w:r>
            <w:r>
              <w:rPr>
                <w:b w:val="0"/>
              </w:rPr>
              <w:fldChar w:fldCharType="end"/>
            </w:r>
            <w:bookmarkEnd w:id="19"/>
            <w:r>
              <w:rPr>
                <w:b w:val="0"/>
              </w:rPr>
              <w:t xml:space="preserve"> Social Functioning</w:t>
            </w:r>
          </w:p>
        </w:tc>
      </w:tr>
      <w:tr w:rsidR="003379BD" w14:paraId="68F8D37D" w14:textId="77777777" w:rsidTr="002E3BE2">
        <w:trPr>
          <w:cantSplit/>
          <w:trHeight w:val="20"/>
        </w:trPr>
        <w:tc>
          <w:tcPr>
            <w:tcW w:w="3816" w:type="dxa"/>
            <w:gridSpan w:val="2"/>
            <w:tcBorders>
              <w:top w:val="nil"/>
              <w:left w:val="nil"/>
              <w:bottom w:val="nil"/>
              <w:right w:val="nil"/>
            </w:tcBorders>
          </w:tcPr>
          <w:p w14:paraId="5B965989" w14:textId="77777777" w:rsidR="003379BD" w:rsidRPr="002E3BE2" w:rsidRDefault="003379BD" w:rsidP="002E3BE2">
            <w:pPr>
              <w:pStyle w:val="Heading4"/>
              <w:tabs>
                <w:tab w:val="left" w:pos="540"/>
              </w:tabs>
              <w:spacing w:before="0"/>
              <w:jc w:val="left"/>
              <w:rPr>
                <w:sz w:val="6"/>
                <w:szCs w:val="8"/>
              </w:rPr>
            </w:pPr>
          </w:p>
        </w:tc>
        <w:tc>
          <w:tcPr>
            <w:tcW w:w="3816" w:type="dxa"/>
            <w:gridSpan w:val="5"/>
            <w:tcBorders>
              <w:top w:val="nil"/>
              <w:left w:val="nil"/>
              <w:bottom w:val="nil"/>
              <w:right w:val="nil"/>
            </w:tcBorders>
          </w:tcPr>
          <w:p w14:paraId="31F5C598" w14:textId="77777777" w:rsidR="003379BD" w:rsidRPr="002E3BE2" w:rsidRDefault="003379BD" w:rsidP="002E3BE2">
            <w:pPr>
              <w:pStyle w:val="Heading4"/>
              <w:tabs>
                <w:tab w:val="left" w:pos="540"/>
              </w:tabs>
              <w:spacing w:before="0"/>
              <w:jc w:val="left"/>
              <w:rPr>
                <w:b w:val="0"/>
                <w:sz w:val="6"/>
                <w:szCs w:val="8"/>
              </w:rPr>
            </w:pPr>
          </w:p>
        </w:tc>
        <w:tc>
          <w:tcPr>
            <w:tcW w:w="3816" w:type="dxa"/>
            <w:gridSpan w:val="3"/>
            <w:tcBorders>
              <w:top w:val="nil"/>
              <w:left w:val="nil"/>
              <w:bottom w:val="nil"/>
              <w:right w:val="nil"/>
            </w:tcBorders>
          </w:tcPr>
          <w:p w14:paraId="3CAA367B" w14:textId="77777777" w:rsidR="003379BD" w:rsidRPr="002E3BE2" w:rsidRDefault="003379BD" w:rsidP="002E3BE2">
            <w:pPr>
              <w:pStyle w:val="Heading4"/>
              <w:tabs>
                <w:tab w:val="left" w:pos="540"/>
              </w:tabs>
              <w:spacing w:before="0"/>
              <w:jc w:val="left"/>
              <w:rPr>
                <w:b w:val="0"/>
                <w:sz w:val="6"/>
                <w:szCs w:val="8"/>
              </w:rPr>
            </w:pPr>
          </w:p>
        </w:tc>
      </w:tr>
      <w:tr w:rsidR="003379BD" w14:paraId="59DCD8B7" w14:textId="77777777" w:rsidTr="002E3BE2">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rsidTr="002E3BE2">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F3FCA">
              <w:rPr>
                <w:b w:val="0"/>
              </w:rPr>
            </w:r>
            <w:r w:rsidR="001F3FCA">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F3FCA">
              <w:rPr>
                <w:b w:val="0"/>
              </w:rPr>
            </w:r>
            <w:r w:rsidR="001F3FCA">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rsidTr="002E3BE2">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F3FCA">
              <w:rPr>
                <w:b w:val="0"/>
              </w:rPr>
            </w:r>
            <w:r w:rsidR="001F3FCA">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F3FCA">
              <w:rPr>
                <w:b w:val="0"/>
              </w:rPr>
            </w:r>
            <w:r w:rsidR="001F3FCA">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rsidTr="002E3BE2">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F3FCA">
              <w:rPr>
                <w:b w:val="0"/>
              </w:rPr>
            </w:r>
            <w:r w:rsidR="001F3FCA">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F3FCA">
              <w:rPr>
                <w:b w:val="0"/>
              </w:rPr>
            </w:r>
            <w:r w:rsidR="001F3FCA">
              <w:rPr>
                <w:b w:val="0"/>
              </w:rPr>
              <w:fldChar w:fldCharType="separate"/>
            </w:r>
            <w:r>
              <w:rPr>
                <w:b w:val="0"/>
              </w:rPr>
              <w:fldChar w:fldCharType="end"/>
            </w:r>
            <w:bookmarkEnd w:id="26"/>
            <w:r>
              <w:rPr>
                <w:b w:val="0"/>
              </w:rPr>
              <w:t xml:space="preserve"> Risk of harm to self or others</w:t>
            </w:r>
          </w:p>
        </w:tc>
      </w:tr>
      <w:tr w:rsidR="003379BD" w14:paraId="2967296F" w14:textId="77777777" w:rsidTr="002E3BE2">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F3FCA">
              <w:rPr>
                <w:b w:val="0"/>
              </w:rPr>
            </w:r>
            <w:r w:rsidR="001F3FCA">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rsidTr="002E3BE2">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rsidTr="002E3BE2">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C7EFA95" w:rsidR="003379BD" w:rsidRDefault="003379BD" w:rsidP="000C7CBE">
            <w:pPr>
              <w:rPr>
                <w:rFonts w:ascii="Arial" w:hAnsi="Arial"/>
                <w:sz w:val="18"/>
              </w:rPr>
            </w:pPr>
            <w:r>
              <w:rPr>
                <w:rFonts w:ascii="Arial" w:hAnsi="Arial"/>
                <w:sz w:val="18"/>
              </w:rPr>
              <w:t xml:space="preserve">Medication: </w:t>
            </w:r>
            <w:r w:rsidR="002E3BE2" w:rsidRPr="002E3BE2">
              <w:rPr>
                <w:sz w:val="22"/>
              </w:rPr>
              <w:t>Atarax®, Vistaril® – (hydroxyzine)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64E79F88"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2E3BE2" w:rsidRPr="002E3BE2">
              <w:rPr>
                <w:rFonts w:cs="Arial"/>
                <w:b w:val="0"/>
                <w:bCs/>
                <w:sz w:val="18"/>
                <w:szCs w:val="18"/>
              </w:rPr>
              <w:t>dry</w:t>
            </w:r>
            <w:proofErr w:type="gramEnd"/>
            <w:r w:rsidR="002E3BE2" w:rsidRPr="002E3BE2">
              <w:rPr>
                <w:rFonts w:cs="Arial"/>
                <w:b w:val="0"/>
                <w:bCs/>
                <w:sz w:val="18"/>
                <w:szCs w:val="18"/>
              </w:rPr>
              <w:t xml:space="preserve"> mouth, somnolence, injection site reaction</w:t>
            </w:r>
          </w:p>
        </w:tc>
      </w:tr>
      <w:tr w:rsidR="003379BD" w14:paraId="15326E25" w14:textId="77777777" w:rsidTr="00683097">
        <w:trPr>
          <w:cantSplit/>
          <w:trHeight w:val="576"/>
        </w:trPr>
        <w:tc>
          <w:tcPr>
            <w:tcW w:w="11448" w:type="dxa"/>
            <w:gridSpan w:val="2"/>
            <w:tcBorders>
              <w:top w:val="nil"/>
              <w:left w:val="nil"/>
              <w:bottom w:val="nil"/>
              <w:right w:val="nil"/>
            </w:tcBorders>
          </w:tcPr>
          <w:p w14:paraId="78B6BC4C" w14:textId="77777777" w:rsidR="002E3BE2" w:rsidRPr="002E3BE2" w:rsidRDefault="003379BD" w:rsidP="002E3BE2">
            <w:pPr>
              <w:rPr>
                <w:rFonts w:ascii="Arial" w:hAnsi="Arial" w:cs="Arial"/>
                <w:sz w:val="18"/>
                <w:szCs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2E3BE2" w:rsidRPr="002E3BE2">
              <w:rPr>
                <w:rFonts w:ascii="Arial" w:hAnsi="Arial" w:cs="Arial"/>
                <w:sz w:val="18"/>
                <w:szCs w:val="18"/>
              </w:rPr>
              <w:t>feeling</w:t>
            </w:r>
            <w:proofErr w:type="gramEnd"/>
            <w:r w:rsidR="002E3BE2" w:rsidRPr="002E3BE2">
              <w:rPr>
                <w:rFonts w:ascii="Arial" w:hAnsi="Arial" w:cs="Arial"/>
                <w:sz w:val="18"/>
                <w:szCs w:val="18"/>
              </w:rPr>
              <w:t xml:space="preserve"> clumsy, confused, or sleepy, congestion, constipation, blurry vision, changes in vision, difficult or</w:t>
            </w:r>
          </w:p>
          <w:p w14:paraId="15629E5B" w14:textId="77777777" w:rsidR="002E3BE2" w:rsidRPr="002E3BE2" w:rsidRDefault="002E3BE2" w:rsidP="002E3BE2">
            <w:pPr>
              <w:rPr>
                <w:rFonts w:ascii="Arial" w:hAnsi="Arial" w:cs="Arial"/>
                <w:sz w:val="18"/>
                <w:szCs w:val="18"/>
              </w:rPr>
            </w:pPr>
            <w:r w:rsidRPr="002E3BE2">
              <w:rPr>
                <w:rFonts w:ascii="Arial" w:hAnsi="Arial" w:cs="Arial"/>
                <w:sz w:val="18"/>
                <w:szCs w:val="18"/>
              </w:rPr>
              <w:t>painful urination, fast, pounding heartbeat, increased sweating, indigestion, loss or gain of appetite, joint pain, muscle aching or cramping,</w:t>
            </w:r>
          </w:p>
          <w:p w14:paraId="0361CE85" w14:textId="77777777" w:rsidR="002E3BE2" w:rsidRPr="002E3BE2" w:rsidRDefault="002E3BE2" w:rsidP="002E3BE2">
            <w:pPr>
              <w:rPr>
                <w:rFonts w:ascii="Arial" w:hAnsi="Arial" w:cs="Arial"/>
                <w:sz w:val="18"/>
                <w:szCs w:val="18"/>
              </w:rPr>
            </w:pPr>
            <w:r w:rsidRPr="002E3BE2">
              <w:rPr>
                <w:rFonts w:ascii="Arial" w:hAnsi="Arial" w:cs="Arial"/>
                <w:sz w:val="18"/>
                <w:szCs w:val="18"/>
              </w:rPr>
              <w:t>muscle stiffness, uncontrollable movement of the muscles, nausea, ringing or buzzing in ears, runny nose, stomach discomfort or pain,</w:t>
            </w:r>
          </w:p>
          <w:p w14:paraId="5A3C8667" w14:textId="77777777" w:rsidR="002E3BE2" w:rsidRPr="002E3BE2" w:rsidRDefault="002E3BE2" w:rsidP="002E3BE2">
            <w:pPr>
              <w:rPr>
                <w:rFonts w:ascii="Arial" w:hAnsi="Arial" w:cs="Arial"/>
                <w:sz w:val="18"/>
                <w:szCs w:val="18"/>
              </w:rPr>
            </w:pPr>
            <w:r w:rsidRPr="002E3BE2">
              <w:rPr>
                <w:rFonts w:ascii="Arial" w:hAnsi="Arial" w:cs="Arial"/>
                <w:sz w:val="18"/>
                <w:szCs w:val="18"/>
              </w:rPr>
              <w:t>tremor, unusual excitement, nervousness, restlessness, or irritability</w:t>
            </w:r>
          </w:p>
          <w:p w14:paraId="1BCFFD3B" w14:textId="5EFCFF33" w:rsidR="003379BD" w:rsidRDefault="003379BD" w:rsidP="009414D3">
            <w:pPr>
              <w:rPr>
                <w:b/>
              </w:rPr>
            </w:pPr>
          </w:p>
        </w:tc>
      </w:tr>
      <w:tr w:rsidR="003379BD" w14:paraId="16ADBA3D" w14:textId="77777777" w:rsidTr="00683097">
        <w:trPr>
          <w:cantSplit/>
          <w:trHeight w:val="576"/>
        </w:trPr>
        <w:tc>
          <w:tcPr>
            <w:tcW w:w="11448" w:type="dxa"/>
            <w:gridSpan w:val="2"/>
            <w:tcBorders>
              <w:top w:val="nil"/>
              <w:left w:val="nil"/>
              <w:bottom w:val="nil"/>
              <w:right w:val="nil"/>
            </w:tcBorders>
          </w:tcPr>
          <w:p w14:paraId="58EA79F7" w14:textId="77777777" w:rsidR="002E3BE2" w:rsidRPr="002E3BE2" w:rsidRDefault="003379BD" w:rsidP="002E3BE2">
            <w:pPr>
              <w:rPr>
                <w:rFonts w:ascii="Arial" w:hAnsi="Arial" w:cs="Arial"/>
                <w:sz w:val="18"/>
                <w:szCs w:val="18"/>
              </w:rPr>
            </w:pPr>
            <w:r>
              <w:rPr>
                <w:rFonts w:ascii="Arial" w:hAnsi="Arial"/>
                <w:b/>
                <w:sz w:val="18"/>
              </w:rPr>
              <w:t>Rare Side Effects</w:t>
            </w:r>
            <w:r>
              <w:t xml:space="preserve">  </w:t>
            </w:r>
            <w:r w:rsidR="002E3BE2" w:rsidRPr="002E3BE2">
              <w:rPr>
                <w:rFonts w:ascii="Arial" w:hAnsi="Arial" w:cs="Arial"/>
                <w:sz w:val="18"/>
                <w:szCs w:val="18"/>
              </w:rPr>
              <w:t>Although rare, please contact your doctor as soon as possible if any of the following side effects occur: severe abdominal or stomach pain; clay-colored stools or dark urine; severe diarrhea; difficulty swallowing; dizziness; fast or irregular heartbeat; fever; severe headache; hives; itching; prickly sensations; puffiness or swelling of the eyes, face, lips or tongue; redness of skin; seizures; shortness of breath; skin rash; tightness in chest; wheezing; severely sore throat; unusual bleeding or bruising; hallucinations.</w:t>
            </w:r>
          </w:p>
          <w:p w14:paraId="4AB82D46" w14:textId="3655D258" w:rsidR="003379BD" w:rsidRDefault="003379BD" w:rsidP="009414D3">
            <w:pPr>
              <w:rPr>
                <w:b/>
              </w:rPr>
            </w:pPr>
          </w:p>
        </w:tc>
      </w:tr>
      <w:tr w:rsidR="003379BD" w14:paraId="0666E783" w14:textId="77777777" w:rsidTr="00683097">
        <w:trPr>
          <w:cantSplit/>
          <w:trHeight w:val="576"/>
        </w:trPr>
        <w:tc>
          <w:tcPr>
            <w:tcW w:w="11448" w:type="dxa"/>
            <w:gridSpan w:val="2"/>
            <w:tcBorders>
              <w:top w:val="nil"/>
              <w:left w:val="nil"/>
              <w:bottom w:val="nil"/>
              <w:right w:val="nil"/>
            </w:tcBorders>
          </w:tcPr>
          <w:p w14:paraId="2C356599" w14:textId="77777777" w:rsidR="002E3BE2" w:rsidRDefault="003379BD" w:rsidP="002E3BE2">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13B5028D" w14:textId="3782B3B8" w:rsidR="002E3BE2" w:rsidRP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 xml:space="preserve">Precautions: </w:t>
            </w:r>
          </w:p>
          <w:p w14:paraId="222F9299" w14:textId="77777777" w:rsidR="002E3BE2" w:rsidRP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Hydroxyzine hydrochloride</w:t>
            </w:r>
          </w:p>
          <w:p w14:paraId="1617B3FA" w14:textId="77777777" w:rsid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Special populations (Beers Criteria): Avoid use in older adults due to strong anticholinergic effects and reduced clearance with advanced age, increasing the risk of anticholinergic effects and toxicity. Tolerance develops when used as a hypnotic. Avoid in patients with delirium or at high risk of delirium as it may induce or worsen delirium; in patients with a history of falls or fractures (unless safer alternatives are not available) as it may cause syncope, impaired psychomotor function or ataxia; in patients with dementia or cognitive impairment because of adverse CNS effects; and in men with lower urinary tract symptoms or benign prostatic hyperplasia as decreased urinary flow and urinary retention may occur. Avoid concomitant use of additional drugs with anticholinergic activity due to increased risk of falls, cognitive decline, and delirium. Elderly patients are at increased risk confusion and oversedation; dose reduction and monitoring recommended.</w:t>
            </w:r>
          </w:p>
          <w:p w14:paraId="410FD0D5" w14:textId="77777777" w:rsidR="002E3BE2" w:rsidRPr="002E3BE2" w:rsidRDefault="002E3BE2" w:rsidP="002E3BE2">
            <w:pPr>
              <w:rPr>
                <w:rFonts w:ascii="Arial" w:hAnsi="Arial" w:cs="Arial"/>
                <w:snapToGrid w:val="0"/>
                <w:color w:val="000000"/>
                <w:sz w:val="18"/>
                <w:szCs w:val="18"/>
              </w:rPr>
            </w:pPr>
          </w:p>
          <w:p w14:paraId="266040BC" w14:textId="77777777" w:rsidR="002E3BE2" w:rsidRP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Hydroxyzine pamoate</w:t>
            </w:r>
          </w:p>
          <w:p w14:paraId="55A027A4" w14:textId="77777777" w:rsid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Cardiovascular: QT prolongation and Torsade de Pointes have been reported with use; use with caution in patients with risk factors for QT prolongation, congenital or family history of long QT syndrome, recent myocardial infarction, uncompensated heart failure, bradyarrhythmias, concomitant use of drugs that are known to prolong the QT interval, and in other conditions that predispose patients to QT prolongation and ventricular arrythmia.</w:t>
            </w:r>
          </w:p>
          <w:p w14:paraId="10C50033" w14:textId="77777777" w:rsidR="002E3BE2" w:rsidRPr="002E3BE2" w:rsidRDefault="002E3BE2" w:rsidP="002E3BE2">
            <w:pPr>
              <w:rPr>
                <w:rFonts w:ascii="Arial" w:hAnsi="Arial" w:cs="Arial"/>
                <w:snapToGrid w:val="0"/>
                <w:color w:val="000000"/>
                <w:sz w:val="18"/>
                <w:szCs w:val="18"/>
              </w:rPr>
            </w:pPr>
          </w:p>
          <w:p w14:paraId="7C1D9305" w14:textId="77777777" w:rsid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Concomitant use: Additive CNS depressant effects may occur with concomitant use of narcotics, non-narcotic analgesics, barbiturates, and alcohol; dosage reduction of CNS depressants recommended.</w:t>
            </w:r>
          </w:p>
          <w:p w14:paraId="15B7674D" w14:textId="77777777" w:rsidR="002E3BE2" w:rsidRPr="002E3BE2" w:rsidRDefault="002E3BE2" w:rsidP="002E3BE2">
            <w:pPr>
              <w:rPr>
                <w:rFonts w:ascii="Arial" w:hAnsi="Arial" w:cs="Arial"/>
                <w:snapToGrid w:val="0"/>
                <w:color w:val="000000"/>
                <w:sz w:val="18"/>
                <w:szCs w:val="18"/>
              </w:rPr>
            </w:pPr>
          </w:p>
          <w:p w14:paraId="159E1BDB" w14:textId="77777777" w:rsid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Dermatologic: Acute generalized exanthematous pustulosis has been reported; discontinue use if suspected and alternative therapy may be required.</w:t>
            </w:r>
          </w:p>
          <w:p w14:paraId="59E54B5C" w14:textId="77777777" w:rsidR="002E3BE2" w:rsidRPr="002E3BE2" w:rsidRDefault="002E3BE2" w:rsidP="002E3BE2">
            <w:pPr>
              <w:rPr>
                <w:rFonts w:ascii="Arial" w:hAnsi="Arial" w:cs="Arial"/>
                <w:snapToGrid w:val="0"/>
                <w:color w:val="000000"/>
                <w:sz w:val="18"/>
                <w:szCs w:val="18"/>
              </w:rPr>
            </w:pPr>
          </w:p>
          <w:p w14:paraId="6D9F6FE8" w14:textId="77777777" w:rsidR="002E3BE2" w:rsidRPr="002E3BE2" w:rsidRDefault="002E3BE2" w:rsidP="002E3BE2">
            <w:pPr>
              <w:rPr>
                <w:rFonts w:ascii="Arial" w:hAnsi="Arial" w:cs="Arial"/>
                <w:snapToGrid w:val="0"/>
                <w:color w:val="000000"/>
                <w:sz w:val="18"/>
                <w:szCs w:val="18"/>
              </w:rPr>
            </w:pPr>
            <w:r w:rsidRPr="002E3BE2">
              <w:rPr>
                <w:rFonts w:ascii="Arial" w:hAnsi="Arial" w:cs="Arial"/>
                <w:snapToGrid w:val="0"/>
                <w:color w:val="000000"/>
                <w:sz w:val="18"/>
                <w:szCs w:val="18"/>
              </w:rPr>
              <w:t>Special populations (Beers Criteria): Avoid use in older adults due to strong anticholinergic effects and reduced clearance with advanced age, increasing the risk of anticholinergic effects and toxicity. Tolerance develops when used as a hypnotic. Avoid in patients with delirium or at high risk of delirium as it may induce or worsen delirium; in patients with a history of falls or fractures (unless safer alternatives are not available) as it may cause syncope, impaired psychomotor function or ataxia; in patients with dementia or cognitive impairment because of adverse CNS effects; and in men with lower urinary tract symptoms or benign prostatic hyperplasia as decreased urinary flow and urinary retention may occur. Avoid concomitant use of additional drugs with anticholinergic activity due to increased risk of falls, cognitive decline, and delirium. Confusion or over-sedation may occur in elderly patients; monitoring and dose reduction recommended.</w:t>
            </w:r>
          </w:p>
          <w:p w14:paraId="21CE678A" w14:textId="1894FED6" w:rsidR="003379BD" w:rsidRDefault="003379BD" w:rsidP="00CD63AA">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77777777"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sidRPr="002E3BE2">
              <w:rPr>
                <w:rFonts w:ascii="Arial" w:hAnsi="Arial" w:cs="Arial"/>
                <w:snapToGrid w:val="0"/>
                <w:color w:val="000000"/>
                <w:sz w:val="18"/>
                <w:szCs w:val="18"/>
              </w:rPr>
              <w:fldChar w:fldCharType="begin">
                <w:ffData>
                  <w:name w:val=""/>
                  <w:enabled/>
                  <w:calcOnExit w:val="0"/>
                  <w:statusText w:type="text" w:val="Identify any warnings that are known about the medication  Limit 200 characters"/>
                  <w:textInput/>
                </w:ffData>
              </w:fldChar>
            </w:r>
            <w:r w:rsidR="006A6CDD" w:rsidRPr="002E3BE2">
              <w:rPr>
                <w:rFonts w:ascii="Arial" w:hAnsi="Arial" w:cs="Arial"/>
                <w:snapToGrid w:val="0"/>
                <w:color w:val="000000"/>
                <w:sz w:val="18"/>
                <w:szCs w:val="18"/>
              </w:rPr>
              <w:instrText xml:space="preserve"> FORMTEXT </w:instrText>
            </w:r>
            <w:r w:rsidR="006A6CDD" w:rsidRPr="002E3BE2">
              <w:rPr>
                <w:rFonts w:ascii="Arial" w:hAnsi="Arial" w:cs="Arial"/>
                <w:snapToGrid w:val="0"/>
                <w:color w:val="000000"/>
                <w:sz w:val="18"/>
                <w:szCs w:val="18"/>
              </w:rPr>
            </w:r>
            <w:r w:rsidR="006A6CDD" w:rsidRPr="002E3BE2">
              <w:rPr>
                <w:rFonts w:ascii="Arial" w:hAnsi="Arial" w:cs="Arial"/>
                <w:snapToGrid w:val="0"/>
                <w:color w:val="000000"/>
                <w:sz w:val="18"/>
                <w:szCs w:val="18"/>
              </w:rPr>
              <w:fldChar w:fldCharType="separate"/>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snapToGrid w:val="0"/>
                <w:color w:val="000000"/>
                <w:sz w:val="18"/>
                <w:szCs w:val="18"/>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2E3BE2">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2E3BE2">
              <w:rPr>
                <w:rFonts w:ascii="Arial" w:hAnsi="Arial" w:cs="Arial"/>
                <w:snapToGrid w:val="0"/>
                <w:color w:val="000000"/>
                <w:sz w:val="18"/>
                <w:szCs w:val="18"/>
              </w:rPr>
              <w:instrText xml:space="preserve"> FORMTEXT </w:instrText>
            </w:r>
            <w:r w:rsidR="006A6CDD" w:rsidRPr="002E3BE2">
              <w:rPr>
                <w:rFonts w:ascii="Arial" w:hAnsi="Arial" w:cs="Arial"/>
                <w:snapToGrid w:val="0"/>
                <w:color w:val="000000"/>
                <w:sz w:val="18"/>
                <w:szCs w:val="18"/>
              </w:rPr>
            </w:r>
            <w:r w:rsidR="006A6CDD" w:rsidRPr="002E3BE2">
              <w:rPr>
                <w:rFonts w:ascii="Arial" w:hAnsi="Arial" w:cs="Arial"/>
                <w:snapToGrid w:val="0"/>
                <w:color w:val="000000"/>
                <w:sz w:val="18"/>
                <w:szCs w:val="18"/>
              </w:rPr>
              <w:fldChar w:fldCharType="separate"/>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noProof/>
                <w:snapToGrid w:val="0"/>
                <w:color w:val="000000"/>
                <w:sz w:val="18"/>
                <w:szCs w:val="18"/>
              </w:rPr>
              <w:t> </w:t>
            </w:r>
            <w:r w:rsidR="006A6CDD" w:rsidRPr="002E3BE2">
              <w:rPr>
                <w:rFonts w:ascii="Arial" w:hAnsi="Arial" w:cs="Arial"/>
                <w:snapToGrid w:val="0"/>
                <w:color w:val="000000"/>
                <w:sz w:val="18"/>
                <w:szCs w:val="18"/>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F3FCA">
              <w:rPr>
                <w:rFonts w:ascii="Arial" w:hAnsi="Arial"/>
                <w:sz w:val="18"/>
              </w:rPr>
            </w:r>
            <w:r w:rsidR="001F3FCA">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D8C8" w14:textId="77777777" w:rsidR="00C4505E" w:rsidRDefault="00C4505E" w:rsidP="007A6FC3">
      <w:r>
        <w:separator/>
      </w:r>
    </w:p>
  </w:endnote>
  <w:endnote w:type="continuationSeparator" w:id="0">
    <w:p w14:paraId="09506DFE" w14:textId="77777777" w:rsidR="00C4505E" w:rsidRDefault="00C4505E"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4253" w14:textId="77777777" w:rsidR="00C4505E" w:rsidRDefault="00C4505E" w:rsidP="007A6FC3">
      <w:r>
        <w:separator/>
      </w:r>
    </w:p>
  </w:footnote>
  <w:footnote w:type="continuationSeparator" w:id="0">
    <w:p w14:paraId="618E000A" w14:textId="77777777" w:rsidR="00C4505E" w:rsidRDefault="00C4505E"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g3Inj3JQaBx8aDaWWImFQO4hWsWFTobES9vFwQueBcT0RuNc7KLdGEY1s1VFsDf1CaPtTq1aYuDWCknE3hbQ==" w:salt="NrwWfQSuAymjvzfHCu354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0089"/>
    <w:rsid w:val="00097390"/>
    <w:rsid w:val="000C0786"/>
    <w:rsid w:val="000C7CBE"/>
    <w:rsid w:val="000D55C9"/>
    <w:rsid w:val="000E1C0B"/>
    <w:rsid w:val="00101422"/>
    <w:rsid w:val="0018307F"/>
    <w:rsid w:val="001B5936"/>
    <w:rsid w:val="001F3FCA"/>
    <w:rsid w:val="002009DA"/>
    <w:rsid w:val="0021563E"/>
    <w:rsid w:val="00256A13"/>
    <w:rsid w:val="00295B89"/>
    <w:rsid w:val="002E3BE2"/>
    <w:rsid w:val="00311731"/>
    <w:rsid w:val="0031599E"/>
    <w:rsid w:val="003379BD"/>
    <w:rsid w:val="003A15FD"/>
    <w:rsid w:val="003B70D9"/>
    <w:rsid w:val="003D356D"/>
    <w:rsid w:val="003E29B2"/>
    <w:rsid w:val="00451154"/>
    <w:rsid w:val="004553BF"/>
    <w:rsid w:val="0047002C"/>
    <w:rsid w:val="004C2872"/>
    <w:rsid w:val="004D379B"/>
    <w:rsid w:val="005325D4"/>
    <w:rsid w:val="00546EF3"/>
    <w:rsid w:val="005508EB"/>
    <w:rsid w:val="0056414C"/>
    <w:rsid w:val="005A70E2"/>
    <w:rsid w:val="005F3D5E"/>
    <w:rsid w:val="00606B81"/>
    <w:rsid w:val="00621771"/>
    <w:rsid w:val="0064565E"/>
    <w:rsid w:val="00653309"/>
    <w:rsid w:val="00683097"/>
    <w:rsid w:val="006A6CDD"/>
    <w:rsid w:val="006B7A42"/>
    <w:rsid w:val="00775C94"/>
    <w:rsid w:val="007A6FC3"/>
    <w:rsid w:val="007F44C1"/>
    <w:rsid w:val="008E0D37"/>
    <w:rsid w:val="00916D82"/>
    <w:rsid w:val="00927055"/>
    <w:rsid w:val="00934FD5"/>
    <w:rsid w:val="009414D3"/>
    <w:rsid w:val="00A05C70"/>
    <w:rsid w:val="00A60207"/>
    <w:rsid w:val="00AA7ED4"/>
    <w:rsid w:val="00AB1650"/>
    <w:rsid w:val="00B23CEC"/>
    <w:rsid w:val="00B47C64"/>
    <w:rsid w:val="00B82162"/>
    <w:rsid w:val="00B83999"/>
    <w:rsid w:val="00C24692"/>
    <w:rsid w:val="00C4505E"/>
    <w:rsid w:val="00C57CF2"/>
    <w:rsid w:val="00C70A8C"/>
    <w:rsid w:val="00CA71B6"/>
    <w:rsid w:val="00CA7C90"/>
    <w:rsid w:val="00CC7A80"/>
    <w:rsid w:val="00CD63AA"/>
    <w:rsid w:val="00CE681E"/>
    <w:rsid w:val="00D47BC5"/>
    <w:rsid w:val="00DF0FF9"/>
    <w:rsid w:val="00E02750"/>
    <w:rsid w:val="00E33CBE"/>
    <w:rsid w:val="00E7205C"/>
    <w:rsid w:val="00EA1297"/>
    <w:rsid w:val="00EE5A08"/>
    <w:rsid w:val="00EF5F71"/>
    <w:rsid w:val="00F55DC4"/>
    <w:rsid w:val="00FE6A5A"/>
    <w:rsid w:val="00FF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2024-09-05T21:01:00Z</dcterms:created>
  <dcterms:modified xsi:type="dcterms:W3CDTF">2024-09-05T21:01:00Z</dcterms:modified>
</cp:coreProperties>
</file>