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3379BD">
            <w:pPr>
              <w:rPr>
                <w:rFonts w:ascii="Arial" w:hAnsi="Arial"/>
                <w:sz w:val="18"/>
              </w:rPr>
            </w:pPr>
            <w:r w:rsidRPr="004553BF">
              <w:rPr>
                <w:rFonts w:ascii="Arial" w:hAnsi="Arial"/>
                <w:sz w:val="18"/>
              </w:rPr>
              <w:t xml:space="preserve">Division of </w:t>
            </w:r>
            <w:r w:rsidR="007A6FC3" w:rsidRPr="004553BF">
              <w:rPr>
                <w:rFonts w:ascii="Arial" w:hAnsi="Arial"/>
                <w:sz w:val="18"/>
              </w:rPr>
              <w:t>Mental Health and Substance Abuse Services</w:t>
            </w:r>
          </w:p>
          <w:p w:rsidR="003379BD" w:rsidRPr="004553BF" w:rsidRDefault="004553BF" w:rsidP="00017A46">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07/2015</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headerReference w:type="default" r:id="rId8"/>
          <w:footerReference w:type="even" r:id="rId9"/>
          <w:footerReference w:type="default" r:id="rId10"/>
          <w:footerReference w:type="first" r:id="rId11"/>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773D08">
              <w:t>10/10/2019</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08425B" w:rsidTr="00F05BA3">
        <w:trPr>
          <w:cantSplit/>
        </w:trPr>
        <w:tc>
          <w:tcPr>
            <w:tcW w:w="3168" w:type="dxa"/>
            <w:tcBorders>
              <w:top w:val="single" w:sz="4" w:space="0" w:color="auto"/>
              <w:left w:val="nil"/>
              <w:bottom w:val="single" w:sz="4" w:space="0" w:color="auto"/>
            </w:tcBorders>
            <w:vAlign w:val="center"/>
          </w:tcPr>
          <w:p w:rsidR="0008425B" w:rsidRDefault="0008425B" w:rsidP="00F05BA3">
            <w:pPr>
              <w:spacing w:before="60"/>
              <w:rPr>
                <w:sz w:val="22"/>
              </w:rPr>
            </w:pPr>
            <w:r w:rsidRPr="00F125E2">
              <w:rPr>
                <w:noProof/>
                <w:sz w:val="22"/>
              </w:rPr>
              <w:t>Antihistamine (sedative, antianxiety)</w:t>
            </w:r>
          </w:p>
        </w:tc>
        <w:tc>
          <w:tcPr>
            <w:tcW w:w="3420" w:type="dxa"/>
            <w:gridSpan w:val="5"/>
            <w:tcBorders>
              <w:top w:val="single" w:sz="4" w:space="0" w:color="auto"/>
              <w:bottom w:val="single" w:sz="4" w:space="0" w:color="auto"/>
              <w:right w:val="nil"/>
            </w:tcBorders>
            <w:vAlign w:val="center"/>
          </w:tcPr>
          <w:p w:rsidR="0008425B" w:rsidRDefault="0008425B" w:rsidP="00F05BA3">
            <w:pPr>
              <w:tabs>
                <w:tab w:val="left" w:pos="702"/>
                <w:tab w:val="left" w:pos="882"/>
                <w:tab w:val="left" w:pos="1152"/>
                <w:tab w:val="left" w:pos="1602"/>
              </w:tabs>
              <w:rPr>
                <w:sz w:val="22"/>
              </w:rPr>
            </w:pPr>
            <w:r w:rsidRPr="00F125E2">
              <w:rPr>
                <w:noProof/>
                <w:sz w:val="22"/>
              </w:rPr>
              <w:t>Vistaril</w:t>
            </w:r>
            <w:r>
              <w:rPr>
                <w:noProof/>
                <w:sz w:val="22"/>
              </w:rPr>
              <w:t xml:space="preserve"> </w:t>
            </w:r>
            <w:r>
              <w:rPr>
                <w:sz w:val="22"/>
              </w:rPr>
              <w:t>(</w:t>
            </w:r>
            <w:r w:rsidRPr="00F125E2">
              <w:rPr>
                <w:noProof/>
                <w:sz w:val="22"/>
              </w:rPr>
              <w:t>hydroxyzine</w:t>
            </w:r>
            <w:r>
              <w:rPr>
                <w:sz w:val="22"/>
              </w:rPr>
              <w:t>)</w:t>
            </w:r>
          </w:p>
        </w:tc>
        <w:tc>
          <w:tcPr>
            <w:tcW w:w="3420" w:type="dxa"/>
            <w:gridSpan w:val="3"/>
            <w:tcBorders>
              <w:top w:val="single" w:sz="4" w:space="0" w:color="auto"/>
              <w:bottom w:val="single" w:sz="4" w:space="0" w:color="auto"/>
              <w:right w:val="nil"/>
            </w:tcBorders>
            <w:vAlign w:val="center"/>
          </w:tcPr>
          <w:p w:rsidR="0008425B" w:rsidRDefault="0008425B" w:rsidP="00F05BA3">
            <w:pPr>
              <w:tabs>
                <w:tab w:val="left" w:pos="702"/>
                <w:tab w:val="left" w:pos="882"/>
                <w:tab w:val="left" w:pos="1152"/>
                <w:tab w:val="left" w:pos="1602"/>
              </w:tabs>
              <w:rPr>
                <w:sz w:val="22"/>
              </w:rPr>
            </w:pPr>
            <w:r w:rsidRPr="00F125E2">
              <w:rPr>
                <w:noProof/>
                <w:sz w:val="22"/>
              </w:rPr>
              <w:t>25mg - 400mg</w:t>
            </w:r>
          </w:p>
        </w:tc>
        <w:tc>
          <w:tcPr>
            <w:tcW w:w="1440" w:type="dxa"/>
            <w:tcBorders>
              <w:top w:val="single" w:sz="4" w:space="0" w:color="auto"/>
              <w:bottom w:val="single" w:sz="4" w:space="0" w:color="auto"/>
              <w:right w:val="nil"/>
            </w:tcBorders>
            <w:vAlign w:val="center"/>
          </w:tcPr>
          <w:p w:rsidR="0008425B" w:rsidRDefault="0008425B"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E5581D">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E5581D">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E5581D">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E5581D">
              <w:rPr>
                <w:rFonts w:ascii="Arial" w:hAnsi="Arial"/>
                <w:sz w:val="18"/>
              </w:rPr>
            </w:r>
            <w:r w:rsidR="00E5581D">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E5581D">
              <w:rPr>
                <w:rFonts w:ascii="Arial" w:hAnsi="Arial"/>
                <w:sz w:val="18"/>
              </w:rPr>
            </w:r>
            <w:r w:rsidR="00E5581D">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E5581D">
              <w:rPr>
                <w:rFonts w:ascii="Arial" w:hAnsi="Arial"/>
                <w:sz w:val="18"/>
              </w:rPr>
            </w:r>
            <w:r w:rsidR="00E5581D">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E5581D">
              <w:rPr>
                <w:rFonts w:ascii="Arial" w:hAnsi="Arial"/>
                <w:sz w:val="18"/>
              </w:rPr>
            </w:r>
            <w:r w:rsidR="00E5581D">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E5581D">
              <w:rPr>
                <w:rFonts w:ascii="Arial" w:hAnsi="Arial"/>
                <w:sz w:val="18"/>
              </w:rPr>
            </w:r>
            <w:r w:rsidR="00E5581D">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E5581D">
              <w:rPr>
                <w:rFonts w:ascii="Arial" w:hAnsi="Arial"/>
                <w:sz w:val="18"/>
              </w:rPr>
            </w:r>
            <w:r w:rsidR="00E5581D">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E5581D">
              <w:rPr>
                <w:b w:val="0"/>
              </w:rPr>
            </w:r>
            <w:r w:rsidR="00E5581D">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E5581D">
              <w:rPr>
                <w:b w:val="0"/>
              </w:rPr>
            </w:r>
            <w:r w:rsidR="00E5581D">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E5581D">
              <w:rPr>
                <w:b w:val="0"/>
              </w:rPr>
            </w:r>
            <w:r w:rsidR="00E5581D">
              <w:rPr>
                <w:b w:val="0"/>
              </w:rPr>
              <w:fldChar w:fldCharType="separate"/>
            </w:r>
            <w:r>
              <w:rPr>
                <w:b w:val="0"/>
              </w:rPr>
              <w:fldChar w:fldCharType="end"/>
            </w:r>
            <w:bookmarkEnd w:id="19"/>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0"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E5581D">
              <w:rPr>
                <w:b w:val="0"/>
              </w:rPr>
            </w:r>
            <w:r w:rsidR="00E5581D">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E5581D">
              <w:rPr>
                <w:b w:val="0"/>
              </w:rPr>
            </w:r>
            <w:r w:rsidR="00E5581D">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E5581D">
              <w:rPr>
                <w:b w:val="0"/>
              </w:rPr>
            </w:r>
            <w:r w:rsidR="00E5581D">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E5581D">
              <w:rPr>
                <w:b w:val="0"/>
              </w:rPr>
            </w:r>
            <w:r w:rsidR="00E5581D">
              <w:rPr>
                <w:b w:val="0"/>
              </w:rPr>
              <w:fldChar w:fldCharType="separate"/>
            </w:r>
            <w:r>
              <w:rPr>
                <w:b w:val="0"/>
              </w:rPr>
              <w:fldChar w:fldCharType="end"/>
            </w:r>
            <w:bookmarkEnd w:id="24"/>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E5581D">
              <w:rPr>
                <w:b w:val="0"/>
              </w:rPr>
            </w:r>
            <w:r w:rsidR="00E5581D">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E5581D">
              <w:rPr>
                <w:b w:val="0"/>
              </w:rPr>
            </w:r>
            <w:r w:rsidR="00E5581D">
              <w:rPr>
                <w:b w:val="0"/>
              </w:rPr>
              <w:fldChar w:fldCharType="separate"/>
            </w:r>
            <w:r>
              <w:rPr>
                <w:b w:val="0"/>
              </w:rPr>
              <w:fldChar w:fldCharType="end"/>
            </w:r>
            <w:bookmarkEnd w:id="26"/>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E5581D">
              <w:rPr>
                <w:b w:val="0"/>
              </w:rPr>
            </w:r>
            <w:r w:rsidR="00E5581D">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0"/>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8"/>
      </w:tblGrid>
      <w:tr w:rsidR="003379BD">
        <w:trPr>
          <w:cantSplit/>
        </w:trPr>
        <w:tc>
          <w:tcPr>
            <w:tcW w:w="11448" w:type="dxa"/>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tcBorders>
              <w:top w:val="single" w:sz="4" w:space="0" w:color="auto"/>
              <w:left w:val="nil"/>
              <w:bottom w:val="nil"/>
              <w:right w:val="nil"/>
            </w:tcBorders>
          </w:tcPr>
          <w:p w:rsidR="003379BD" w:rsidRPr="00097390" w:rsidRDefault="003379BD" w:rsidP="009A72C4">
            <w:pPr>
              <w:pStyle w:val="Heading6"/>
              <w:spacing w:after="120"/>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Pr="004C52A7" w:rsidRDefault="003379BD" w:rsidP="009A72C4">
            <w:pPr>
              <w:pStyle w:val="Heading6"/>
              <w:rPr>
                <w:b w:val="0"/>
                <w:sz w:val="18"/>
                <w:szCs w:val="18"/>
              </w:rPr>
            </w:pPr>
            <w:r w:rsidRPr="0056414C">
              <w:rPr>
                <w:sz w:val="18"/>
                <w:szCs w:val="18"/>
              </w:rPr>
              <w:t>Most Common Side Effects</w:t>
            </w:r>
            <w:r w:rsidR="004C52A7">
              <w:rPr>
                <w:sz w:val="18"/>
                <w:szCs w:val="18"/>
              </w:rPr>
              <w:t>:</w:t>
            </w:r>
            <w:r w:rsidR="004C52A7">
              <w:rPr>
                <w:b w:val="0"/>
                <w:sz w:val="18"/>
                <w:szCs w:val="18"/>
              </w:rPr>
              <w:t xml:space="preserve"> Drowsiness, dry mouth, nose, or throat; stomach upset or pain, nausea, and headache. </w:t>
            </w:r>
          </w:p>
          <w:p w:rsidR="009A72C4" w:rsidRPr="009A72C4" w:rsidRDefault="009A72C4" w:rsidP="004C52A7"/>
        </w:tc>
      </w:tr>
      <w:tr w:rsidR="003379BD" w:rsidTr="00683097">
        <w:trPr>
          <w:cantSplit/>
          <w:trHeight w:val="576"/>
        </w:trPr>
        <w:tc>
          <w:tcPr>
            <w:tcW w:w="11448" w:type="dxa"/>
            <w:tcBorders>
              <w:top w:val="nil"/>
              <w:left w:val="nil"/>
              <w:bottom w:val="nil"/>
              <w:right w:val="nil"/>
            </w:tcBorders>
          </w:tcPr>
          <w:p w:rsidR="003379BD" w:rsidRPr="004C52A7" w:rsidRDefault="003379BD" w:rsidP="009A72C4">
            <w:pPr>
              <w:rPr>
                <w:rFonts w:ascii="Arial" w:hAnsi="Arial"/>
                <w:snapToGrid w:val="0"/>
                <w:color w:val="000000"/>
                <w:sz w:val="16"/>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4C52A7">
              <w:rPr>
                <w:rFonts w:ascii="Arial" w:hAnsi="Arial"/>
                <w:b/>
                <w:snapToGrid w:val="0"/>
                <w:color w:val="000000"/>
                <w:sz w:val="18"/>
              </w:rPr>
              <w:t xml:space="preserve">: </w:t>
            </w:r>
            <w:r w:rsidR="004C52A7">
              <w:rPr>
                <w:rFonts w:ascii="Arial" w:hAnsi="Arial"/>
                <w:snapToGrid w:val="0"/>
                <w:color w:val="000000"/>
                <w:sz w:val="18"/>
              </w:rPr>
              <w:t>Blurred vision/vision changes, bo</w:t>
            </w:r>
            <w:r w:rsidR="005A18CA">
              <w:rPr>
                <w:rFonts w:ascii="Arial" w:hAnsi="Arial"/>
                <w:snapToGrid w:val="0"/>
                <w:color w:val="000000"/>
                <w:sz w:val="18"/>
              </w:rPr>
              <w:t>dy aches, confusion, skin rash or skin reaction,</w:t>
            </w:r>
            <w:r w:rsidR="004C52A7">
              <w:rPr>
                <w:rFonts w:ascii="Arial" w:hAnsi="Arial"/>
                <w:snapToGrid w:val="0"/>
                <w:color w:val="000000"/>
                <w:sz w:val="18"/>
              </w:rPr>
              <w:t xml:space="preserve"> constipation, diarrhea, difficulty urinating, fast heartbeat, increased sensitivity to the sun, loss of appetite, </w:t>
            </w:r>
            <w:r w:rsidR="005A18CA">
              <w:rPr>
                <w:rFonts w:ascii="Arial" w:hAnsi="Arial"/>
                <w:snapToGrid w:val="0"/>
                <w:color w:val="000000"/>
                <w:sz w:val="18"/>
              </w:rPr>
              <w:t>involuntary movements, fainting, or hives</w:t>
            </w:r>
          </w:p>
          <w:p w:rsidR="009A72C4" w:rsidRDefault="009A72C4" w:rsidP="005A18CA">
            <w:pPr>
              <w:rPr>
                <w:b/>
              </w:rPr>
            </w:pPr>
          </w:p>
        </w:tc>
      </w:tr>
      <w:tr w:rsidR="003379BD" w:rsidTr="00683097">
        <w:trPr>
          <w:cantSplit/>
          <w:trHeight w:val="576"/>
        </w:trPr>
        <w:tc>
          <w:tcPr>
            <w:tcW w:w="11448" w:type="dxa"/>
            <w:tcBorders>
              <w:top w:val="nil"/>
              <w:left w:val="nil"/>
              <w:bottom w:val="nil"/>
              <w:right w:val="nil"/>
            </w:tcBorders>
          </w:tcPr>
          <w:p w:rsidR="003379BD" w:rsidRDefault="003379BD" w:rsidP="007628D4">
            <w:r>
              <w:rPr>
                <w:rFonts w:ascii="Arial" w:hAnsi="Arial"/>
                <w:b/>
                <w:sz w:val="18"/>
              </w:rPr>
              <w:t>Rare Side Effects</w:t>
            </w:r>
            <w:r>
              <w:t xml:space="preserve">  </w:t>
            </w:r>
          </w:p>
          <w:p w:rsidR="007628D4" w:rsidRDefault="007628D4" w:rsidP="007628D4">
            <w:pPr>
              <w:rPr>
                <w:rFonts w:ascii="Arial" w:hAnsi="Arial"/>
                <w:noProof/>
                <w:sz w:val="18"/>
              </w:rPr>
            </w:pPr>
            <w:r w:rsidRPr="00F125E2">
              <w:rPr>
                <w:rFonts w:ascii="Arial" w:hAnsi="Arial"/>
                <w:noProof/>
                <w:sz w:val="18"/>
              </w:rPr>
              <w:t>Check with your doctor immediately if any of the following rare side effects occur: abdominal or stomach pain; burning; chills; clay-colored stools or dark urine; cough; diarrhea; difficulty swallowing; dizziness; fast or irregular heartbeat; fever; headache; hives; itching; prickly sensations; puffiness or swelling of the eyelids or around the eyes, face, lips or tongue; redness of skin; seizures; shortness of breath; skin rash; swelling; tightness in chest; tingling; unusual tiredness or weakness; wheezing.</w:t>
            </w:r>
          </w:p>
          <w:p w:rsidR="007628D4" w:rsidRPr="005747DF" w:rsidRDefault="007628D4" w:rsidP="007628D4">
            <w:pPr>
              <w:rPr>
                <w:rFonts w:ascii="Arial" w:hAnsi="Arial"/>
                <w:noProof/>
                <w:sz w:val="8"/>
                <w:szCs w:val="8"/>
              </w:rPr>
            </w:pPr>
          </w:p>
          <w:p w:rsidR="007628D4" w:rsidRDefault="007628D4" w:rsidP="005A18CA">
            <w:pPr>
              <w:rPr>
                <w:b/>
              </w:rPr>
            </w:pPr>
          </w:p>
        </w:tc>
      </w:tr>
      <w:tr w:rsidR="003379BD" w:rsidTr="00683097">
        <w:trPr>
          <w:cantSplit/>
          <w:trHeight w:val="576"/>
        </w:trPr>
        <w:tc>
          <w:tcPr>
            <w:tcW w:w="11448" w:type="dxa"/>
            <w:tcBorders>
              <w:top w:val="nil"/>
              <w:left w:val="nil"/>
              <w:bottom w:val="nil"/>
              <w:right w:val="nil"/>
            </w:tcBorders>
          </w:tcPr>
          <w:p w:rsidR="003379BD" w:rsidRDefault="003379BD" w:rsidP="00AD0B17">
            <w:pPr>
              <w:rPr>
                <w:rFonts w:ascii="Arial" w:hAnsi="Arial"/>
                <w:b/>
                <w:snapToGrid w:val="0"/>
                <w:color w:val="000000"/>
                <w:sz w:val="16"/>
              </w:rPr>
            </w:pPr>
            <w:r>
              <w:rPr>
                <w:rFonts w:ascii="Arial" w:hAnsi="Arial"/>
                <w:b/>
                <w:snapToGrid w:val="0"/>
                <w:color w:val="000000"/>
                <w:sz w:val="18"/>
              </w:rPr>
              <w:t>Caution</w:t>
            </w:r>
          </w:p>
          <w:p w:rsidR="005A18CA" w:rsidRDefault="005A18CA" w:rsidP="005A18CA">
            <w:pPr>
              <w:pStyle w:val="ListParagraph"/>
              <w:numPr>
                <w:ilvl w:val="0"/>
                <w:numId w:val="5"/>
              </w:numPr>
              <w:rPr>
                <w:rFonts w:ascii="Arial" w:hAnsi="Arial" w:cs="Arial"/>
                <w:snapToGrid w:val="0"/>
                <w:color w:val="000000"/>
                <w:sz w:val="18"/>
                <w:szCs w:val="18"/>
              </w:rPr>
            </w:pPr>
            <w:r w:rsidRPr="005A18CA">
              <w:rPr>
                <w:rFonts w:ascii="Arial" w:hAnsi="Arial" w:cs="Arial"/>
                <w:snapToGrid w:val="0"/>
                <w:color w:val="000000"/>
                <w:sz w:val="18"/>
                <w:szCs w:val="18"/>
              </w:rPr>
              <w:t>Can add to the d</w:t>
            </w:r>
            <w:r>
              <w:rPr>
                <w:rFonts w:ascii="Arial" w:hAnsi="Arial" w:cs="Arial"/>
                <w:snapToGrid w:val="0"/>
                <w:color w:val="000000"/>
                <w:sz w:val="18"/>
                <w:szCs w:val="18"/>
              </w:rPr>
              <w:t>epressive (sedating) effects of other depressants (medicines that slow down the nervous system, causing drowsiness): Examples are sedatives, sleeping medications, pain medication or narcotics, seizure medications, muscle relaxants, anesthetics, and alcohol.</w:t>
            </w:r>
          </w:p>
          <w:p w:rsidR="005A18CA" w:rsidRDefault="005A18CA" w:rsidP="005A18CA">
            <w:pPr>
              <w:pStyle w:val="ListParagraph"/>
              <w:numPr>
                <w:ilvl w:val="0"/>
                <w:numId w:val="5"/>
              </w:numPr>
              <w:rPr>
                <w:rFonts w:ascii="Arial" w:hAnsi="Arial" w:cs="Arial"/>
                <w:snapToGrid w:val="0"/>
                <w:color w:val="000000"/>
                <w:sz w:val="18"/>
                <w:szCs w:val="18"/>
              </w:rPr>
            </w:pPr>
            <w:r>
              <w:rPr>
                <w:rFonts w:ascii="Arial" w:hAnsi="Arial" w:cs="Arial"/>
                <w:snapToGrid w:val="0"/>
                <w:color w:val="000000"/>
                <w:sz w:val="18"/>
                <w:szCs w:val="18"/>
              </w:rPr>
              <w:t>This medication may cause you to be more drowsy or dizzy; use caution when operating machinery or driving.  Make sure to know how you react to the medication before doing these activities.</w:t>
            </w:r>
          </w:p>
          <w:p w:rsidR="005A18CA" w:rsidRPr="005A18CA" w:rsidRDefault="005A18CA" w:rsidP="005A18CA">
            <w:pPr>
              <w:pStyle w:val="ListParagraph"/>
              <w:numPr>
                <w:ilvl w:val="0"/>
                <w:numId w:val="5"/>
              </w:numPr>
              <w:rPr>
                <w:rFonts w:ascii="Arial" w:hAnsi="Arial" w:cs="Arial"/>
                <w:snapToGrid w:val="0"/>
                <w:color w:val="000000"/>
                <w:sz w:val="18"/>
                <w:szCs w:val="18"/>
              </w:rPr>
            </w:pPr>
            <w:r>
              <w:rPr>
                <w:rFonts w:ascii="Arial" w:hAnsi="Arial" w:cs="Arial"/>
                <w:snapToGrid w:val="0"/>
                <w:color w:val="000000"/>
                <w:sz w:val="18"/>
                <w:szCs w:val="18"/>
              </w:rPr>
              <w:t>Caution if you have narrow-angle glaucoma</w:t>
            </w:r>
          </w:p>
          <w:p w:rsidR="00AD0B17" w:rsidRDefault="00AD0B17" w:rsidP="005A18CA">
            <w:pPr>
              <w:rPr>
                <w:b/>
              </w:rPr>
            </w:pPr>
          </w:p>
        </w:tc>
      </w:tr>
      <w:tr w:rsidR="003379BD">
        <w:trPr>
          <w:cantSplit/>
          <w:trHeight w:hRule="exact" w:val="288"/>
        </w:trPr>
        <w:tc>
          <w:tcPr>
            <w:tcW w:w="11448" w:type="dxa"/>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bl>
    <w:p w:rsidR="00D83B06" w:rsidRDefault="00D83B0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8"/>
      </w:tblGrid>
      <w:tr w:rsidR="003379BD">
        <w:trPr>
          <w:cantSplit/>
        </w:trPr>
        <w:tc>
          <w:tcPr>
            <w:tcW w:w="11448" w:type="dxa"/>
            <w:tcBorders>
              <w:top w:val="nil"/>
              <w:left w:val="nil"/>
              <w:bottom w:val="nil"/>
              <w:right w:val="nil"/>
            </w:tcBorders>
          </w:tcPr>
          <w:p w:rsidR="003379BD" w:rsidRDefault="00D83B06" w:rsidP="005325D4">
            <w:pPr>
              <w:pStyle w:val="BodyText"/>
              <w:spacing w:after="60"/>
            </w:pPr>
            <w:r>
              <w:rPr>
                <w:rFonts w:ascii="Times New Roman" w:hAnsi="Times New Roman"/>
                <w:b w:val="0"/>
                <w:sz w:val="20"/>
              </w:rPr>
              <w:lastRenderedPageBreak/>
              <w:br w:type="page"/>
            </w:r>
            <w:r w:rsidR="003379BD">
              <w:t>By my signature below, I GIVE consent for the named medication on Page 1 and anticipated dosage range</w:t>
            </w:r>
            <w:r w:rsidR="005508EB">
              <w:t xml:space="preserve">. </w:t>
            </w:r>
            <w:r w:rsidR="003379BD">
              <w:t>My signature also indicates that I understand the following:</w:t>
            </w:r>
          </w:p>
          <w:p w:rsidR="003379BD" w:rsidRDefault="003379BD" w:rsidP="005325D4">
            <w:pPr>
              <w:pStyle w:val="BodyTextIndent2"/>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2"/>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E5581D">
              <w:rPr>
                <w:rFonts w:ascii="Arial" w:hAnsi="Arial"/>
                <w:sz w:val="18"/>
              </w:rPr>
            </w:r>
            <w:r w:rsidR="00E5581D">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E5581D">
              <w:rPr>
                <w:rFonts w:ascii="Arial" w:hAnsi="Arial"/>
                <w:sz w:val="18"/>
              </w:rPr>
            </w:r>
            <w:r w:rsidR="00E5581D">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bookmarkStart w:id="31" w:name="_GoBack"/>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E5581D">
              <w:rPr>
                <w:rFonts w:ascii="Arial" w:hAnsi="Arial"/>
                <w:sz w:val="18"/>
              </w:rPr>
            </w:r>
            <w:r w:rsidR="00E5581D">
              <w:rPr>
                <w:rFonts w:ascii="Arial" w:hAnsi="Arial"/>
                <w:sz w:val="18"/>
              </w:rPr>
              <w:fldChar w:fldCharType="separate"/>
            </w:r>
            <w:r>
              <w:rPr>
                <w:rFonts w:ascii="Arial" w:hAnsi="Arial"/>
                <w:sz w:val="18"/>
              </w:rPr>
              <w:fldChar w:fldCharType="end"/>
            </w:r>
            <w:bookmarkEnd w:id="31"/>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E5581D">
              <w:rPr>
                <w:rFonts w:ascii="Arial" w:hAnsi="Arial"/>
                <w:sz w:val="18"/>
              </w:rPr>
            </w:r>
            <w:r w:rsidR="00E5581D">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E5581D">
              <w:rPr>
                <w:rFonts w:ascii="Arial" w:hAnsi="Arial"/>
                <w:sz w:val="18"/>
              </w:rPr>
            </w:r>
            <w:r w:rsidR="00E5581D">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A3" w:rsidRDefault="00F05BA3" w:rsidP="007A6FC3">
      <w:r>
        <w:separator/>
      </w:r>
    </w:p>
  </w:endnote>
  <w:endnote w:type="continuationSeparator" w:id="0">
    <w:p w:rsidR="00F05BA3" w:rsidRDefault="00F05BA3"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581D">
      <w:rPr>
        <w:rStyle w:val="PageNumber"/>
        <w:noProof/>
      </w:rPr>
      <w:t>2</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A3" w:rsidRDefault="00F05BA3" w:rsidP="007A6FC3">
      <w:r>
        <w:separator/>
      </w:r>
    </w:p>
  </w:footnote>
  <w:footnote w:type="continuationSeparator" w:id="0">
    <w:p w:rsidR="00F05BA3" w:rsidRDefault="00F05BA3" w:rsidP="007A6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D83B06" w:rsidTr="00F05BA3">
      <w:trPr>
        <w:tblHeader/>
      </w:trPr>
      <w:tc>
        <w:tcPr>
          <w:tcW w:w="4788" w:type="dxa"/>
          <w:tcBorders>
            <w:top w:val="nil"/>
            <w:left w:val="nil"/>
            <w:bottom w:val="nil"/>
            <w:right w:val="nil"/>
          </w:tcBorders>
        </w:tcPr>
        <w:p w:rsidR="00D83B06" w:rsidRDefault="00D83B06" w:rsidP="00F05BA3">
          <w:pPr>
            <w:spacing w:after="120"/>
            <w:rPr>
              <w:rFonts w:ascii="Arial" w:hAnsi="Arial"/>
              <w:sz w:val="18"/>
            </w:rPr>
          </w:pPr>
          <w:r>
            <w:rPr>
              <w:rFonts w:ascii="Arial" w:hAnsi="Arial"/>
              <w:sz w:val="16"/>
            </w:rPr>
            <w:t xml:space="preserve">F-24277  </w:t>
          </w:r>
        </w:p>
      </w:tc>
      <w:tc>
        <w:tcPr>
          <w:tcW w:w="6660" w:type="dxa"/>
          <w:tcBorders>
            <w:top w:val="nil"/>
            <w:left w:val="nil"/>
            <w:bottom w:val="nil"/>
            <w:right w:val="nil"/>
          </w:tcBorders>
        </w:tcPr>
        <w:p w:rsidR="00D83B06" w:rsidRDefault="00D83B06" w:rsidP="00F05BA3">
          <w:pPr>
            <w:rPr>
              <w:rFonts w:ascii="Arial" w:hAnsi="Arial"/>
              <w:sz w:val="18"/>
            </w:rPr>
          </w:pPr>
          <w:r>
            <w:rPr>
              <w:rFonts w:ascii="Arial" w:hAnsi="Arial"/>
              <w:sz w:val="18"/>
            </w:rPr>
            <w:t xml:space="preserve">Medication : </w:t>
          </w:r>
          <w:r w:rsidRPr="00F125E2">
            <w:rPr>
              <w:noProof/>
              <w:sz w:val="22"/>
            </w:rPr>
            <w:t>Vistaril</w:t>
          </w:r>
          <w:r>
            <w:rPr>
              <w:sz w:val="22"/>
            </w:rPr>
            <w:t xml:space="preserve"> -</w:t>
          </w:r>
          <w:r>
            <w:rPr>
              <w:rFonts w:ascii="Arial" w:hAnsi="Arial"/>
              <w:sz w:val="18"/>
            </w:rPr>
            <w:t xml:space="preserve"> (</w:t>
          </w:r>
          <w:r w:rsidRPr="00F125E2">
            <w:rPr>
              <w:noProof/>
              <w:sz w:val="22"/>
            </w:rPr>
            <w:t>hydroxyzine</w:t>
          </w:r>
          <w:r>
            <w:rPr>
              <w:rFonts w:ascii="Arial" w:hAnsi="Arial"/>
              <w:sz w:val="18"/>
            </w:rPr>
            <w:t xml:space="preserve">) </w:t>
          </w:r>
        </w:p>
      </w:tc>
    </w:tr>
  </w:tbl>
  <w:p w:rsidR="00D83B06" w:rsidRDefault="00D83B06" w:rsidP="00D83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29AA19F1"/>
    <w:multiLevelType w:val="hybridMultilevel"/>
    <w:tmpl w:val="D63C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e1DwqyUts6EvqaxXDIIhMfb7jo=" w:salt="NekqsY3ipDUcun4LldCWr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31FEC"/>
    <w:rsid w:val="00050F3D"/>
    <w:rsid w:val="00057F83"/>
    <w:rsid w:val="00065117"/>
    <w:rsid w:val="00082C72"/>
    <w:rsid w:val="0008425B"/>
    <w:rsid w:val="00097390"/>
    <w:rsid w:val="00101422"/>
    <w:rsid w:val="0018307F"/>
    <w:rsid w:val="0021563E"/>
    <w:rsid w:val="00241CFA"/>
    <w:rsid w:val="00295B89"/>
    <w:rsid w:val="00311731"/>
    <w:rsid w:val="0031599E"/>
    <w:rsid w:val="003379BD"/>
    <w:rsid w:val="003A15FD"/>
    <w:rsid w:val="003B2EF9"/>
    <w:rsid w:val="003B70D9"/>
    <w:rsid w:val="003D356D"/>
    <w:rsid w:val="003E29B2"/>
    <w:rsid w:val="004553BF"/>
    <w:rsid w:val="00464819"/>
    <w:rsid w:val="0047002C"/>
    <w:rsid w:val="004B0216"/>
    <w:rsid w:val="004C52A7"/>
    <w:rsid w:val="004D379B"/>
    <w:rsid w:val="004D4EDF"/>
    <w:rsid w:val="005325D4"/>
    <w:rsid w:val="005508EB"/>
    <w:rsid w:val="0056414C"/>
    <w:rsid w:val="005A18CA"/>
    <w:rsid w:val="005A70E2"/>
    <w:rsid w:val="005C03B7"/>
    <w:rsid w:val="00606B81"/>
    <w:rsid w:val="00621771"/>
    <w:rsid w:val="0064565E"/>
    <w:rsid w:val="00653309"/>
    <w:rsid w:val="00683097"/>
    <w:rsid w:val="006B7A42"/>
    <w:rsid w:val="007628D4"/>
    <w:rsid w:val="00773D08"/>
    <w:rsid w:val="00775C94"/>
    <w:rsid w:val="007A6FC3"/>
    <w:rsid w:val="007B70D7"/>
    <w:rsid w:val="007F44C1"/>
    <w:rsid w:val="008D1C36"/>
    <w:rsid w:val="00916D82"/>
    <w:rsid w:val="00927055"/>
    <w:rsid w:val="00934FD5"/>
    <w:rsid w:val="00977D00"/>
    <w:rsid w:val="009A72C4"/>
    <w:rsid w:val="009B59D3"/>
    <w:rsid w:val="00A60207"/>
    <w:rsid w:val="00AA7ED4"/>
    <w:rsid w:val="00AB1650"/>
    <w:rsid w:val="00AD0B17"/>
    <w:rsid w:val="00B1786E"/>
    <w:rsid w:val="00B24943"/>
    <w:rsid w:val="00B47C64"/>
    <w:rsid w:val="00B82162"/>
    <w:rsid w:val="00B83999"/>
    <w:rsid w:val="00CA1BC2"/>
    <w:rsid w:val="00CA71B6"/>
    <w:rsid w:val="00CA7C90"/>
    <w:rsid w:val="00CC7A80"/>
    <w:rsid w:val="00CF16BF"/>
    <w:rsid w:val="00D479B3"/>
    <w:rsid w:val="00D83B06"/>
    <w:rsid w:val="00DF0FF9"/>
    <w:rsid w:val="00E02750"/>
    <w:rsid w:val="00E5581D"/>
    <w:rsid w:val="00E7205C"/>
    <w:rsid w:val="00E92D7A"/>
    <w:rsid w:val="00E9777A"/>
    <w:rsid w:val="00EA1297"/>
    <w:rsid w:val="00EE5A08"/>
    <w:rsid w:val="00EF5F71"/>
    <w:rsid w:val="00F05BA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Informed Consent for Medication, Vistaril</vt:lpstr>
    </vt:vector>
  </TitlesOfParts>
  <Manager>Client Rights</Manager>
  <Company>All DHS</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Vistaril</dc:title>
  <dc:creator>WI DHS</dc:creator>
  <cp:keywords>f24277, dde4277, dctf4277, informed consent, medication</cp:keywords>
  <cp:lastModifiedBy>Pritchard, James B</cp:lastModifiedBy>
  <cp:revision>3</cp:revision>
  <cp:lastPrinted>2008-02-05T17:04:00Z</cp:lastPrinted>
  <dcterms:created xsi:type="dcterms:W3CDTF">2019-11-04T16:43:00Z</dcterms:created>
  <dcterms:modified xsi:type="dcterms:W3CDTF">2019-11-04T16:48:00Z</dcterms:modified>
</cp:coreProperties>
</file>