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372B2491"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05B3427E" w14:textId="77777777" w:rsidR="00DE3EE1" w:rsidRPr="00DE3EE1" w:rsidRDefault="00DE3EE1" w:rsidP="00DE3EE1">
            <w:pPr>
              <w:rPr>
                <w:sz w:val="22"/>
              </w:rPr>
            </w:pPr>
            <w:r w:rsidRPr="00DE3EE1">
              <w:rPr>
                <w:sz w:val="22"/>
              </w:rPr>
              <w:t>Antianxiety agent</w:t>
            </w:r>
          </w:p>
          <w:p w14:paraId="3939FA54" w14:textId="490A9B63" w:rsidR="003379BD" w:rsidRDefault="00DE3EE1" w:rsidP="00DE3EE1">
            <w:pPr>
              <w:rPr>
                <w:sz w:val="22"/>
              </w:rPr>
            </w:pPr>
            <w:r w:rsidRPr="00DE3EE1">
              <w:rPr>
                <w:sz w:val="22"/>
              </w:rPr>
              <w:t>(benzodiazepine)</w:t>
            </w:r>
          </w:p>
        </w:tc>
        <w:tc>
          <w:tcPr>
            <w:tcW w:w="3420" w:type="dxa"/>
            <w:gridSpan w:val="5"/>
            <w:tcBorders>
              <w:top w:val="single" w:sz="4" w:space="0" w:color="auto"/>
              <w:bottom w:val="single" w:sz="4" w:space="0" w:color="auto"/>
              <w:right w:val="nil"/>
            </w:tcBorders>
          </w:tcPr>
          <w:p w14:paraId="7C1325B3" w14:textId="77777777" w:rsidR="00DE3EE1" w:rsidRPr="00DE3EE1" w:rsidRDefault="00DE3EE1" w:rsidP="00DE3EE1">
            <w:pPr>
              <w:rPr>
                <w:sz w:val="22"/>
              </w:rPr>
            </w:pPr>
            <w:r w:rsidRPr="00DE3EE1">
              <w:rPr>
                <w:sz w:val="22"/>
              </w:rPr>
              <w:t>Xanax ®</w:t>
            </w:r>
          </w:p>
          <w:p w14:paraId="7A26C4B6" w14:textId="059A3061" w:rsidR="003379BD" w:rsidRDefault="00DE3EE1" w:rsidP="00DE3EE1">
            <w:pPr>
              <w:tabs>
                <w:tab w:val="left" w:pos="702"/>
                <w:tab w:val="left" w:pos="882"/>
                <w:tab w:val="left" w:pos="1152"/>
                <w:tab w:val="left" w:pos="1602"/>
              </w:tabs>
              <w:rPr>
                <w:sz w:val="22"/>
              </w:rPr>
            </w:pPr>
            <w:r w:rsidRPr="00DE3EE1">
              <w:rPr>
                <w:sz w:val="22"/>
              </w:rPr>
              <w:t>(alprazolam)</w:t>
            </w:r>
          </w:p>
        </w:tc>
        <w:tc>
          <w:tcPr>
            <w:tcW w:w="3420" w:type="dxa"/>
            <w:gridSpan w:val="3"/>
            <w:tcBorders>
              <w:top w:val="single" w:sz="4" w:space="0" w:color="auto"/>
              <w:bottom w:val="single" w:sz="4" w:space="0" w:color="auto"/>
              <w:right w:val="nil"/>
            </w:tcBorders>
            <w:vAlign w:val="center"/>
          </w:tcPr>
          <w:p w14:paraId="3C5583EA" w14:textId="3DA4A5D1" w:rsidR="003379BD" w:rsidRDefault="00DE3EE1">
            <w:pPr>
              <w:tabs>
                <w:tab w:val="left" w:pos="702"/>
                <w:tab w:val="left" w:pos="882"/>
                <w:tab w:val="left" w:pos="1152"/>
                <w:tab w:val="left" w:pos="1602"/>
              </w:tabs>
              <w:rPr>
                <w:sz w:val="22"/>
              </w:rPr>
            </w:pPr>
            <w:r w:rsidRPr="00DE3EE1">
              <w:rPr>
                <w:sz w:val="22"/>
              </w:rPr>
              <w:t>0.25 mg - 4 mg</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143D84">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143D84">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143D84">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143D84">
              <w:rPr>
                <w:rFonts w:ascii="Arial" w:hAnsi="Arial"/>
                <w:sz w:val="18"/>
              </w:rPr>
            </w:r>
            <w:r w:rsidR="00143D84">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143D84">
              <w:rPr>
                <w:rFonts w:ascii="Arial" w:hAnsi="Arial"/>
                <w:sz w:val="18"/>
              </w:rPr>
            </w:r>
            <w:r w:rsidR="00143D84">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143D84">
              <w:rPr>
                <w:rFonts w:ascii="Arial" w:hAnsi="Arial"/>
                <w:sz w:val="18"/>
              </w:rPr>
            </w:r>
            <w:r w:rsidR="00143D84">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143D84">
              <w:rPr>
                <w:rFonts w:ascii="Arial" w:hAnsi="Arial"/>
                <w:sz w:val="18"/>
              </w:rPr>
            </w:r>
            <w:r w:rsidR="00143D84">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143D84">
              <w:rPr>
                <w:rFonts w:ascii="Arial" w:hAnsi="Arial"/>
                <w:sz w:val="18"/>
              </w:rPr>
            </w:r>
            <w:r w:rsidR="00143D84">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143D84">
              <w:rPr>
                <w:rFonts w:ascii="Arial" w:hAnsi="Arial"/>
                <w:sz w:val="18"/>
              </w:rPr>
            </w:r>
            <w:r w:rsidR="00143D84">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143D84">
              <w:rPr>
                <w:b w:val="0"/>
              </w:rPr>
            </w:r>
            <w:r w:rsidR="00143D84">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143D84">
              <w:rPr>
                <w:b w:val="0"/>
              </w:rPr>
            </w:r>
            <w:r w:rsidR="00143D84">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143D84">
              <w:rPr>
                <w:b w:val="0"/>
              </w:rPr>
            </w:r>
            <w:r w:rsidR="00143D84">
              <w:rPr>
                <w:b w:val="0"/>
              </w:rPr>
              <w:fldChar w:fldCharType="separate"/>
            </w:r>
            <w:r>
              <w:rPr>
                <w:b w:val="0"/>
              </w:rPr>
              <w:fldChar w:fldCharType="end"/>
            </w:r>
            <w:bookmarkEnd w:id="19"/>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0"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143D84">
              <w:rPr>
                <w:b w:val="0"/>
              </w:rPr>
            </w:r>
            <w:r w:rsidR="00143D84">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143D84">
              <w:rPr>
                <w:b w:val="0"/>
              </w:rPr>
            </w:r>
            <w:r w:rsidR="00143D84">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143D84">
              <w:rPr>
                <w:b w:val="0"/>
              </w:rPr>
            </w:r>
            <w:r w:rsidR="00143D84">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143D84">
              <w:rPr>
                <w:b w:val="0"/>
              </w:rPr>
            </w:r>
            <w:r w:rsidR="00143D84">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143D84">
              <w:rPr>
                <w:b w:val="0"/>
              </w:rPr>
            </w:r>
            <w:r w:rsidR="00143D84">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143D84">
              <w:rPr>
                <w:b w:val="0"/>
              </w:rPr>
            </w:r>
            <w:r w:rsidR="00143D84">
              <w:rPr>
                <w:b w:val="0"/>
              </w:rPr>
              <w:fldChar w:fldCharType="separate"/>
            </w:r>
            <w:r>
              <w:rPr>
                <w:b w:val="0"/>
              </w:rPr>
              <w:fldChar w:fldCharType="end"/>
            </w:r>
            <w:bookmarkEnd w:id="26"/>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143D84">
              <w:rPr>
                <w:b w:val="0"/>
              </w:rPr>
            </w:r>
            <w:r w:rsidR="00143D84">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0"/>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3388AB1D" w:rsidR="003379BD" w:rsidRDefault="003379BD" w:rsidP="006A6CDD">
            <w:pPr>
              <w:rPr>
                <w:rFonts w:ascii="Arial" w:hAnsi="Arial"/>
                <w:sz w:val="18"/>
              </w:rPr>
            </w:pPr>
            <w:r>
              <w:rPr>
                <w:rFonts w:ascii="Arial" w:hAnsi="Arial"/>
                <w:sz w:val="18"/>
              </w:rPr>
              <w:t xml:space="preserve">Medication: </w:t>
            </w:r>
            <w:r w:rsidR="00DE3EE1" w:rsidRPr="00DE3EE1">
              <w:rPr>
                <w:sz w:val="22"/>
              </w:rPr>
              <w:t>Xanax ® – (alprazolam)</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5ABE8605" w14:textId="77777777" w:rsidR="00DE3EE1" w:rsidRPr="00DE3EE1" w:rsidRDefault="003379BD" w:rsidP="00DE3EE1">
            <w:pPr>
              <w:rPr>
                <w:rFonts w:ascii="Arial" w:hAnsi="Arial" w:cs="Arial"/>
                <w:bCs/>
                <w:sz w:val="18"/>
                <w:szCs w:val="18"/>
              </w:rPr>
            </w:pPr>
            <w:r w:rsidRPr="0056414C">
              <w:rPr>
                <w:sz w:val="18"/>
                <w:szCs w:val="18"/>
              </w:rPr>
              <w:t xml:space="preserve">Most Common Side </w:t>
            </w:r>
            <w:proofErr w:type="gramStart"/>
            <w:r w:rsidRPr="0056414C">
              <w:rPr>
                <w:sz w:val="18"/>
                <w:szCs w:val="18"/>
              </w:rPr>
              <w:t xml:space="preserve">Effects </w:t>
            </w:r>
            <w:r>
              <w:t xml:space="preserve"> </w:t>
            </w:r>
            <w:r w:rsidR="00DE3EE1" w:rsidRPr="00DE3EE1">
              <w:rPr>
                <w:rFonts w:ascii="Arial" w:hAnsi="Arial" w:cs="Arial"/>
                <w:bCs/>
                <w:sz w:val="18"/>
                <w:szCs w:val="18"/>
              </w:rPr>
              <w:t>decrease</w:t>
            </w:r>
            <w:proofErr w:type="gramEnd"/>
            <w:r w:rsidR="00DE3EE1" w:rsidRPr="00DE3EE1">
              <w:rPr>
                <w:rFonts w:ascii="Arial" w:hAnsi="Arial" w:cs="Arial"/>
                <w:bCs/>
                <w:sz w:val="18"/>
                <w:szCs w:val="18"/>
              </w:rPr>
              <w:t xml:space="preserve"> in appetite, increased appetite, lightheadedness, weight increase, weight decrease, constipation, reduced salivation, xerostomia, cognitive disorder, confusion, dysarthria, memory impairment, incoordination,  sedation, somnolence, irritability,  reduced libido, fatigue, rash, incoordination, depression, difficulty passing urine, disorder of menstruation</w:t>
            </w:r>
          </w:p>
          <w:p w14:paraId="2CE42C91" w14:textId="5A28475B" w:rsidR="0021563E" w:rsidRPr="0056414C" w:rsidRDefault="0021563E" w:rsidP="006A6CDD">
            <w:pPr>
              <w:pStyle w:val="Heading6"/>
              <w:rPr>
                <w:rFonts w:ascii="Times New Roman" w:hAnsi="Times New Roman"/>
                <w:b w:val="0"/>
              </w:rPr>
            </w:pPr>
          </w:p>
        </w:tc>
      </w:tr>
      <w:tr w:rsidR="003379BD" w14:paraId="15326E25" w14:textId="77777777" w:rsidTr="00683097">
        <w:trPr>
          <w:cantSplit/>
          <w:trHeight w:val="576"/>
        </w:trPr>
        <w:tc>
          <w:tcPr>
            <w:tcW w:w="11448" w:type="dxa"/>
            <w:gridSpan w:val="2"/>
            <w:tcBorders>
              <w:top w:val="nil"/>
              <w:left w:val="nil"/>
              <w:bottom w:val="nil"/>
              <w:right w:val="nil"/>
            </w:tcBorders>
          </w:tcPr>
          <w:p w14:paraId="1BCFFD3B" w14:textId="16D05FC0" w:rsidR="003379BD" w:rsidRDefault="003379BD" w:rsidP="00305957">
            <w:pPr>
              <w:rPr>
                <w:b/>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 xml:space="preserve">ommon Side </w:t>
            </w:r>
            <w:proofErr w:type="gramStart"/>
            <w:r>
              <w:rPr>
                <w:rFonts w:ascii="Arial" w:hAnsi="Arial"/>
                <w:b/>
                <w:snapToGrid w:val="0"/>
                <w:color w:val="000000"/>
                <w:sz w:val="18"/>
              </w:rPr>
              <w:t>Effects</w:t>
            </w:r>
            <w:r>
              <w:rPr>
                <w:rFonts w:ascii="Arial" w:hAnsi="Arial"/>
                <w:b/>
                <w:snapToGrid w:val="0"/>
                <w:color w:val="000000"/>
                <w:sz w:val="16"/>
              </w:rPr>
              <w:t xml:space="preserve">  </w:t>
            </w:r>
            <w:r w:rsidR="00DE3EE1" w:rsidRPr="00DE3EE1">
              <w:rPr>
                <w:rFonts w:ascii="Arial" w:hAnsi="Arial" w:cs="Arial"/>
                <w:sz w:val="18"/>
                <w:szCs w:val="18"/>
              </w:rPr>
              <w:t>chest</w:t>
            </w:r>
            <w:proofErr w:type="gramEnd"/>
            <w:r w:rsidR="00DE3EE1" w:rsidRPr="00DE3EE1">
              <w:rPr>
                <w:rFonts w:ascii="Arial" w:hAnsi="Arial" w:cs="Arial"/>
                <w:sz w:val="18"/>
                <w:szCs w:val="18"/>
              </w:rPr>
              <w:t xml:space="preserve"> pain, hypotension, excessive salivation, nausea, arthralgia, ataxia, headache, insomnia, paresthesia, blurred vision</w:t>
            </w:r>
          </w:p>
        </w:tc>
      </w:tr>
      <w:tr w:rsidR="003379BD" w14:paraId="16ADBA3D" w14:textId="77777777" w:rsidTr="00683097">
        <w:trPr>
          <w:cantSplit/>
          <w:trHeight w:val="576"/>
        </w:trPr>
        <w:tc>
          <w:tcPr>
            <w:tcW w:w="11448" w:type="dxa"/>
            <w:gridSpan w:val="2"/>
            <w:tcBorders>
              <w:top w:val="nil"/>
              <w:left w:val="nil"/>
              <w:bottom w:val="nil"/>
              <w:right w:val="nil"/>
            </w:tcBorders>
          </w:tcPr>
          <w:p w14:paraId="4AB82D46" w14:textId="07103769" w:rsidR="003379BD" w:rsidRDefault="003379BD" w:rsidP="006A6CDD">
            <w:pPr>
              <w:rPr>
                <w:b/>
              </w:rPr>
            </w:pPr>
            <w:r>
              <w:rPr>
                <w:rFonts w:ascii="Arial" w:hAnsi="Arial"/>
                <w:b/>
                <w:sz w:val="18"/>
              </w:rPr>
              <w:t xml:space="preserve">Rare Side </w:t>
            </w:r>
            <w:proofErr w:type="gramStart"/>
            <w:r>
              <w:rPr>
                <w:rFonts w:ascii="Arial" w:hAnsi="Arial"/>
                <w:b/>
                <w:sz w:val="18"/>
              </w:rPr>
              <w:t>Effects</w:t>
            </w:r>
            <w:r>
              <w:t xml:space="preserve">  </w:t>
            </w:r>
            <w:r w:rsidR="00DE3EE1" w:rsidRPr="00DE3EE1">
              <w:rPr>
                <w:rFonts w:ascii="Arial" w:hAnsi="Arial" w:cs="Arial"/>
                <w:sz w:val="18"/>
                <w:szCs w:val="18"/>
              </w:rPr>
              <w:t>tremors</w:t>
            </w:r>
            <w:proofErr w:type="gramEnd"/>
            <w:r w:rsidR="00DE3EE1" w:rsidRPr="00DE3EE1">
              <w:rPr>
                <w:rFonts w:ascii="Arial" w:hAnsi="Arial" w:cs="Arial"/>
                <w:sz w:val="18"/>
                <w:szCs w:val="18"/>
              </w:rPr>
              <w:t xml:space="preserve">, aggressive behavior  </w:t>
            </w:r>
          </w:p>
        </w:tc>
      </w:tr>
      <w:tr w:rsidR="003379BD" w14:paraId="0666E783" w14:textId="77777777" w:rsidTr="00683097">
        <w:trPr>
          <w:cantSplit/>
          <w:trHeight w:val="576"/>
        </w:trPr>
        <w:tc>
          <w:tcPr>
            <w:tcW w:w="11448" w:type="dxa"/>
            <w:gridSpan w:val="2"/>
            <w:tcBorders>
              <w:top w:val="nil"/>
              <w:left w:val="nil"/>
              <w:bottom w:val="nil"/>
              <w:right w:val="nil"/>
            </w:tcBorders>
          </w:tcPr>
          <w:p w14:paraId="511032BA" w14:textId="77777777" w:rsidR="00DE3EE1" w:rsidRDefault="003379BD" w:rsidP="00DE3EE1">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066F4AF6" w14:textId="3F418ECD" w:rsidR="00DE3EE1" w:rsidRDefault="00DE3EE1" w:rsidP="00DE3EE1">
            <w:pPr>
              <w:rPr>
                <w:rFonts w:ascii="Arial" w:hAnsi="Arial" w:cs="Arial"/>
                <w:snapToGrid w:val="0"/>
                <w:color w:val="000000"/>
                <w:sz w:val="18"/>
                <w:szCs w:val="18"/>
              </w:rPr>
            </w:pPr>
            <w:r w:rsidRPr="00DE3EE1">
              <w:rPr>
                <w:rFonts w:ascii="Arial" w:hAnsi="Arial" w:cs="Arial"/>
                <w:snapToGrid w:val="0"/>
                <w:color w:val="000000"/>
                <w:sz w:val="18"/>
                <w:szCs w:val="18"/>
              </w:rPr>
              <w:t xml:space="preserve">Access: Patients receiving concomitant therapy with benzodiazepines or CNS depressants should not be denied access to medication-assisted treatment drugs (eg, methadone and buprenorphine); if concomitant use is necessary, careful management and monitoring recommended. </w:t>
            </w:r>
          </w:p>
          <w:p w14:paraId="6D32C27C" w14:textId="77777777" w:rsidR="00DE3EE1" w:rsidRPr="00DE3EE1" w:rsidRDefault="00DE3EE1" w:rsidP="00DE3EE1">
            <w:pPr>
              <w:rPr>
                <w:rFonts w:ascii="Arial" w:hAnsi="Arial" w:cs="Arial"/>
                <w:snapToGrid w:val="0"/>
                <w:color w:val="000000"/>
                <w:sz w:val="18"/>
                <w:szCs w:val="18"/>
              </w:rPr>
            </w:pPr>
          </w:p>
          <w:p w14:paraId="769B6487" w14:textId="77777777" w:rsidR="00DE3EE1" w:rsidRDefault="00DE3EE1" w:rsidP="00DE3EE1">
            <w:pPr>
              <w:rPr>
                <w:rFonts w:ascii="Arial" w:hAnsi="Arial" w:cs="Arial"/>
                <w:snapToGrid w:val="0"/>
                <w:color w:val="000000"/>
                <w:sz w:val="18"/>
                <w:szCs w:val="18"/>
              </w:rPr>
            </w:pPr>
            <w:r w:rsidRPr="00DE3EE1">
              <w:rPr>
                <w:rFonts w:ascii="Arial" w:hAnsi="Arial" w:cs="Arial"/>
                <w:snapToGrid w:val="0"/>
                <w:color w:val="000000"/>
                <w:sz w:val="18"/>
                <w:szCs w:val="18"/>
              </w:rPr>
              <w:t xml:space="preserve">Concomitant use: Concomitant use with potent CYP3A inhibitors not recommended. </w:t>
            </w:r>
          </w:p>
          <w:p w14:paraId="1A125861" w14:textId="77777777" w:rsidR="00DE3EE1" w:rsidRPr="00DE3EE1" w:rsidRDefault="00DE3EE1" w:rsidP="00DE3EE1">
            <w:pPr>
              <w:rPr>
                <w:rFonts w:ascii="Arial" w:hAnsi="Arial" w:cs="Arial"/>
                <w:snapToGrid w:val="0"/>
                <w:color w:val="000000"/>
                <w:sz w:val="18"/>
                <w:szCs w:val="18"/>
              </w:rPr>
            </w:pPr>
          </w:p>
          <w:p w14:paraId="426C92D8" w14:textId="77777777" w:rsidR="00DE3EE1" w:rsidRDefault="00DE3EE1" w:rsidP="00DE3EE1">
            <w:pPr>
              <w:rPr>
                <w:rFonts w:ascii="Arial" w:hAnsi="Arial" w:cs="Arial"/>
                <w:snapToGrid w:val="0"/>
                <w:color w:val="000000"/>
                <w:sz w:val="18"/>
                <w:szCs w:val="18"/>
              </w:rPr>
            </w:pPr>
            <w:r w:rsidRPr="00DE3EE1">
              <w:rPr>
                <w:rFonts w:ascii="Arial" w:hAnsi="Arial" w:cs="Arial"/>
                <w:snapToGrid w:val="0"/>
                <w:color w:val="000000"/>
                <w:sz w:val="18"/>
                <w:szCs w:val="18"/>
              </w:rPr>
              <w:t xml:space="preserve">Debilitated: Patients may be at increased risk of ataxia or oversedation; dose adjustment recommended. </w:t>
            </w:r>
          </w:p>
          <w:p w14:paraId="2B42B76B" w14:textId="77777777" w:rsidR="00DE3EE1" w:rsidRPr="00DE3EE1" w:rsidRDefault="00DE3EE1" w:rsidP="00DE3EE1">
            <w:pPr>
              <w:rPr>
                <w:rFonts w:ascii="Arial" w:hAnsi="Arial" w:cs="Arial"/>
                <w:snapToGrid w:val="0"/>
                <w:color w:val="000000"/>
                <w:sz w:val="18"/>
                <w:szCs w:val="18"/>
              </w:rPr>
            </w:pPr>
          </w:p>
          <w:p w14:paraId="5A4A2F6D" w14:textId="77777777" w:rsidR="00DE3EE1" w:rsidRDefault="00DE3EE1" w:rsidP="00DE3EE1">
            <w:pPr>
              <w:rPr>
                <w:rFonts w:ascii="Arial" w:hAnsi="Arial" w:cs="Arial"/>
                <w:snapToGrid w:val="0"/>
                <w:color w:val="000000"/>
                <w:sz w:val="18"/>
                <w:szCs w:val="18"/>
              </w:rPr>
            </w:pPr>
            <w:r w:rsidRPr="00DE3EE1">
              <w:rPr>
                <w:rFonts w:ascii="Arial" w:hAnsi="Arial" w:cs="Arial"/>
                <w:snapToGrid w:val="0"/>
                <w:color w:val="000000"/>
                <w:sz w:val="18"/>
                <w:szCs w:val="18"/>
              </w:rPr>
              <w:t xml:space="preserve">Hepatic: Advanced hepatic disease may increase systemic exposure. Alcoholic liver disease or obesity may increase systemic exposure. </w:t>
            </w:r>
          </w:p>
          <w:p w14:paraId="00193C02" w14:textId="77777777" w:rsidR="00DE3EE1" w:rsidRPr="00DE3EE1" w:rsidRDefault="00DE3EE1" w:rsidP="00DE3EE1">
            <w:pPr>
              <w:rPr>
                <w:rFonts w:ascii="Arial" w:hAnsi="Arial" w:cs="Arial"/>
                <w:snapToGrid w:val="0"/>
                <w:color w:val="000000"/>
                <w:sz w:val="18"/>
                <w:szCs w:val="18"/>
              </w:rPr>
            </w:pPr>
          </w:p>
          <w:p w14:paraId="6B0A42F5" w14:textId="77777777" w:rsidR="00DE3EE1" w:rsidRDefault="00DE3EE1" w:rsidP="00DE3EE1">
            <w:pPr>
              <w:rPr>
                <w:rFonts w:ascii="Arial" w:hAnsi="Arial" w:cs="Arial"/>
                <w:snapToGrid w:val="0"/>
                <w:color w:val="000000"/>
                <w:sz w:val="18"/>
                <w:szCs w:val="18"/>
              </w:rPr>
            </w:pPr>
            <w:r w:rsidRPr="00DE3EE1">
              <w:rPr>
                <w:rFonts w:ascii="Arial" w:hAnsi="Arial" w:cs="Arial"/>
                <w:snapToGrid w:val="0"/>
                <w:color w:val="000000"/>
                <w:sz w:val="18"/>
                <w:szCs w:val="18"/>
              </w:rPr>
              <w:t xml:space="preserve">Neurologic: CNS depression may result in sedation, especially with concomitant use of alcohol or other CNS depressants; use caution when driving or operating heavy machinery. Risk of seizure recurrence upon rapid discontinuation; slow taper recommended for patients with history of seizures. </w:t>
            </w:r>
          </w:p>
          <w:p w14:paraId="55FDD7A8" w14:textId="77777777" w:rsidR="00DE3EE1" w:rsidRPr="00DE3EE1" w:rsidRDefault="00DE3EE1" w:rsidP="00DE3EE1">
            <w:pPr>
              <w:rPr>
                <w:rFonts w:ascii="Arial" w:hAnsi="Arial" w:cs="Arial"/>
                <w:snapToGrid w:val="0"/>
                <w:color w:val="000000"/>
                <w:sz w:val="18"/>
                <w:szCs w:val="18"/>
              </w:rPr>
            </w:pPr>
          </w:p>
          <w:p w14:paraId="03B7B375" w14:textId="77777777" w:rsidR="00DE3EE1" w:rsidRDefault="00DE3EE1" w:rsidP="00DE3EE1">
            <w:pPr>
              <w:rPr>
                <w:rFonts w:ascii="Arial" w:hAnsi="Arial" w:cs="Arial"/>
                <w:snapToGrid w:val="0"/>
                <w:color w:val="000000"/>
                <w:sz w:val="18"/>
                <w:szCs w:val="18"/>
              </w:rPr>
            </w:pPr>
            <w:r w:rsidRPr="00DE3EE1">
              <w:rPr>
                <w:rFonts w:ascii="Arial" w:hAnsi="Arial" w:cs="Arial"/>
                <w:snapToGrid w:val="0"/>
                <w:color w:val="000000"/>
                <w:sz w:val="18"/>
                <w:szCs w:val="18"/>
              </w:rPr>
              <w:t xml:space="preserve">Psychiatric: Benzodiazepines may worsen depression, and suicides has been reported; increased monitoring recommended in patients with depression. Hypomania and mania have been reported in patients with depression. Increased risk of physical and psychological dependence at doses greater than 4 mg/day or with prolonged use. </w:t>
            </w:r>
          </w:p>
          <w:p w14:paraId="7552327F" w14:textId="77777777" w:rsidR="00DE3EE1" w:rsidRPr="00DE3EE1" w:rsidRDefault="00DE3EE1" w:rsidP="00DE3EE1">
            <w:pPr>
              <w:rPr>
                <w:rFonts w:ascii="Arial" w:hAnsi="Arial" w:cs="Arial"/>
                <w:snapToGrid w:val="0"/>
                <w:color w:val="000000"/>
                <w:sz w:val="18"/>
                <w:szCs w:val="18"/>
              </w:rPr>
            </w:pPr>
          </w:p>
          <w:p w14:paraId="396C4C1F" w14:textId="77777777" w:rsidR="00DE3EE1" w:rsidRDefault="00DE3EE1" w:rsidP="00DE3EE1">
            <w:pPr>
              <w:rPr>
                <w:rFonts w:ascii="Arial" w:hAnsi="Arial" w:cs="Arial"/>
                <w:snapToGrid w:val="0"/>
                <w:color w:val="000000"/>
                <w:sz w:val="18"/>
                <w:szCs w:val="18"/>
              </w:rPr>
            </w:pPr>
            <w:r w:rsidRPr="00DE3EE1">
              <w:rPr>
                <w:rFonts w:ascii="Arial" w:hAnsi="Arial" w:cs="Arial"/>
                <w:snapToGrid w:val="0"/>
                <w:color w:val="000000"/>
                <w:sz w:val="18"/>
                <w:szCs w:val="18"/>
              </w:rPr>
              <w:t xml:space="preserve">Reproductive: Use during the later stages of pregnancy can result in neonatal sedation (eg, respiratory depression, lethargy, hypotonia) and neonatal withdrawal syndrome (eg, hyperreflexia, irritability, restlessness, tremors, inconsolable crying, and feeding difficulties); monitoring </w:t>
            </w:r>
            <w:proofErr w:type="gramStart"/>
            <w:r w:rsidRPr="00DE3EE1">
              <w:rPr>
                <w:rFonts w:ascii="Arial" w:hAnsi="Arial" w:cs="Arial"/>
                <w:snapToGrid w:val="0"/>
                <w:color w:val="000000"/>
                <w:sz w:val="18"/>
                <w:szCs w:val="18"/>
              </w:rPr>
              <w:t>required</w:t>
            </w:r>
            <w:proofErr w:type="gramEnd"/>
            <w:r w:rsidRPr="00DE3EE1">
              <w:rPr>
                <w:rFonts w:ascii="Arial" w:hAnsi="Arial" w:cs="Arial"/>
                <w:snapToGrid w:val="0"/>
                <w:color w:val="000000"/>
                <w:sz w:val="18"/>
                <w:szCs w:val="18"/>
              </w:rPr>
              <w:t xml:space="preserve"> and medical management may be necessary  </w:t>
            </w:r>
          </w:p>
          <w:p w14:paraId="4E270A65" w14:textId="77777777" w:rsidR="00DE3EE1" w:rsidRPr="00DE3EE1" w:rsidRDefault="00DE3EE1" w:rsidP="00DE3EE1">
            <w:pPr>
              <w:rPr>
                <w:rFonts w:ascii="Arial" w:hAnsi="Arial" w:cs="Arial"/>
                <w:snapToGrid w:val="0"/>
                <w:color w:val="000000"/>
                <w:sz w:val="18"/>
                <w:szCs w:val="18"/>
              </w:rPr>
            </w:pPr>
          </w:p>
          <w:p w14:paraId="0AB11915" w14:textId="77777777" w:rsidR="00DE3EE1" w:rsidRDefault="00DE3EE1" w:rsidP="00DE3EE1">
            <w:pPr>
              <w:rPr>
                <w:rFonts w:ascii="Arial" w:hAnsi="Arial" w:cs="Arial"/>
                <w:snapToGrid w:val="0"/>
                <w:color w:val="000000"/>
                <w:sz w:val="18"/>
                <w:szCs w:val="18"/>
              </w:rPr>
            </w:pPr>
            <w:r w:rsidRPr="00DE3EE1">
              <w:rPr>
                <w:rFonts w:ascii="Arial" w:hAnsi="Arial" w:cs="Arial"/>
                <w:snapToGrid w:val="0"/>
                <w:color w:val="000000"/>
                <w:sz w:val="18"/>
                <w:szCs w:val="18"/>
              </w:rPr>
              <w:t xml:space="preserve">Respiratory: Deaths have been reported in patients with severe pulmonary disease shortly following initiation; monitoring recommended in this population. Discontinue treatment if signs and symptoms of respiratory depression, hypoventilation, or apnea occur. </w:t>
            </w:r>
          </w:p>
          <w:p w14:paraId="3FB424FA" w14:textId="77777777" w:rsidR="00DE3EE1" w:rsidRPr="00DE3EE1" w:rsidRDefault="00DE3EE1" w:rsidP="00DE3EE1">
            <w:pPr>
              <w:rPr>
                <w:rFonts w:ascii="Arial" w:hAnsi="Arial" w:cs="Arial"/>
                <w:snapToGrid w:val="0"/>
                <w:color w:val="000000"/>
                <w:sz w:val="18"/>
                <w:szCs w:val="18"/>
              </w:rPr>
            </w:pPr>
          </w:p>
          <w:p w14:paraId="471BE99C" w14:textId="77777777" w:rsidR="00DE3EE1" w:rsidRDefault="00DE3EE1" w:rsidP="00DE3EE1">
            <w:pPr>
              <w:rPr>
                <w:rFonts w:ascii="Arial" w:hAnsi="Arial" w:cs="Arial"/>
                <w:snapToGrid w:val="0"/>
                <w:color w:val="000000"/>
                <w:sz w:val="18"/>
                <w:szCs w:val="18"/>
              </w:rPr>
            </w:pPr>
            <w:r w:rsidRPr="00DE3EE1">
              <w:rPr>
                <w:rFonts w:ascii="Arial" w:hAnsi="Arial" w:cs="Arial"/>
                <w:snapToGrid w:val="0"/>
                <w:color w:val="000000"/>
                <w:sz w:val="18"/>
                <w:szCs w:val="18"/>
              </w:rPr>
              <w:t xml:space="preserve">Special populations (Beers Criteria): Avoid use in elderly due to greater benzodiazepine sensitivity, especially in patients with a history of falls or fractures (unless safer alternatives are not available), cognitive impairment or dementia, or with delirium or at high risk for delirium. May increase risk of syncope, falls fractures, ataxia, cognitive or psychomotor impairment, motor vehicle accidents, delirium, or other adverse CNS effects (may be appropriate for seizure disorders, rapid eye movement sleep disorders, benzodiazepine or ethanol withdrawal, severe generalized anxiety disorder, periprocedural anesthesia, and end-of-life care). </w:t>
            </w:r>
          </w:p>
          <w:p w14:paraId="5293C19A" w14:textId="77777777" w:rsidR="00DE3EE1" w:rsidRPr="00DE3EE1" w:rsidRDefault="00DE3EE1" w:rsidP="00DE3EE1">
            <w:pPr>
              <w:rPr>
                <w:rFonts w:ascii="Arial" w:hAnsi="Arial" w:cs="Arial"/>
                <w:snapToGrid w:val="0"/>
                <w:color w:val="000000"/>
                <w:sz w:val="18"/>
                <w:szCs w:val="18"/>
              </w:rPr>
            </w:pPr>
          </w:p>
          <w:p w14:paraId="14DDDB3E" w14:textId="77777777" w:rsidR="00DE3EE1" w:rsidRDefault="00DE3EE1" w:rsidP="00DE3EE1">
            <w:pPr>
              <w:rPr>
                <w:rFonts w:ascii="Arial" w:hAnsi="Arial" w:cs="Arial"/>
                <w:snapToGrid w:val="0"/>
                <w:color w:val="000000"/>
                <w:sz w:val="18"/>
                <w:szCs w:val="18"/>
              </w:rPr>
            </w:pPr>
            <w:r w:rsidRPr="00DE3EE1">
              <w:rPr>
                <w:rFonts w:ascii="Arial" w:hAnsi="Arial" w:cs="Arial"/>
                <w:snapToGrid w:val="0"/>
                <w:color w:val="000000"/>
                <w:sz w:val="18"/>
                <w:szCs w:val="18"/>
              </w:rPr>
              <w:t xml:space="preserve">Special populations (Beers Criteria - Concomitant Use): Avoid concomitant use of 3 or more CNS-active agents in any combination due to increased risk of falls and fractures. Avoid concomitant use of any opioid due to increased risk of overdose. </w:t>
            </w:r>
          </w:p>
          <w:p w14:paraId="37588D85" w14:textId="77777777" w:rsidR="00DE3EE1" w:rsidRPr="00DE3EE1" w:rsidRDefault="00DE3EE1" w:rsidP="00DE3EE1">
            <w:pPr>
              <w:rPr>
                <w:rFonts w:ascii="Arial" w:hAnsi="Arial" w:cs="Arial"/>
                <w:snapToGrid w:val="0"/>
                <w:color w:val="000000"/>
                <w:sz w:val="18"/>
                <w:szCs w:val="18"/>
              </w:rPr>
            </w:pPr>
          </w:p>
          <w:p w14:paraId="1E309DA3" w14:textId="77777777" w:rsidR="00DE3EE1" w:rsidRDefault="00DE3EE1" w:rsidP="00DE3EE1">
            <w:pPr>
              <w:rPr>
                <w:rFonts w:ascii="Arial" w:hAnsi="Arial" w:cs="Arial"/>
                <w:snapToGrid w:val="0"/>
                <w:color w:val="000000"/>
                <w:sz w:val="18"/>
                <w:szCs w:val="18"/>
              </w:rPr>
            </w:pPr>
            <w:r w:rsidRPr="00DE3EE1">
              <w:rPr>
                <w:rFonts w:ascii="Arial" w:hAnsi="Arial" w:cs="Arial"/>
                <w:snapToGrid w:val="0"/>
                <w:color w:val="000000"/>
                <w:sz w:val="18"/>
                <w:szCs w:val="18"/>
              </w:rPr>
              <w:t xml:space="preserve">Withdrawal of therapy: Withdrawal symptoms, including life-threatening seizures, may occur with missed doses, abrupt dose reduction, or discontinuation; gradual dose reduction recommended. </w:t>
            </w:r>
          </w:p>
          <w:p w14:paraId="598501A3" w14:textId="77777777" w:rsidR="00DE3EE1" w:rsidRPr="00DE3EE1" w:rsidRDefault="00DE3EE1" w:rsidP="00DE3EE1">
            <w:pPr>
              <w:rPr>
                <w:rFonts w:ascii="Arial" w:hAnsi="Arial" w:cs="Arial"/>
                <w:snapToGrid w:val="0"/>
                <w:color w:val="000000"/>
                <w:sz w:val="18"/>
                <w:szCs w:val="18"/>
              </w:rPr>
            </w:pPr>
          </w:p>
          <w:p w14:paraId="4A1C2DF6" w14:textId="77777777" w:rsidR="00DE3EE1" w:rsidRPr="00DE3EE1" w:rsidRDefault="00DE3EE1" w:rsidP="00DE3EE1">
            <w:pPr>
              <w:rPr>
                <w:rFonts w:ascii="Arial" w:hAnsi="Arial" w:cs="Arial"/>
                <w:snapToGrid w:val="0"/>
                <w:color w:val="000000"/>
                <w:sz w:val="18"/>
                <w:szCs w:val="18"/>
              </w:rPr>
            </w:pPr>
            <w:r w:rsidRPr="00DE3EE1">
              <w:rPr>
                <w:rFonts w:ascii="Arial" w:hAnsi="Arial" w:cs="Arial"/>
                <w:snapToGrid w:val="0"/>
                <w:color w:val="000000"/>
                <w:sz w:val="18"/>
                <w:szCs w:val="18"/>
              </w:rPr>
              <w:t>Withdrawal: Protracted withdrawal syndrome with symptoms lasting weeks to more than 12 months has developed after benzodiazepine use.</w:t>
            </w:r>
          </w:p>
          <w:p w14:paraId="21CE678A" w14:textId="361C159A" w:rsidR="003379BD" w:rsidRDefault="00DE3EE1" w:rsidP="00DE3EE1">
            <w:pPr>
              <w:rPr>
                <w:b/>
              </w:rPr>
            </w:pPr>
            <w:r w:rsidRPr="00DE3EE1">
              <w:rPr>
                <w:rFonts w:ascii="Arial" w:hAnsi="Arial" w:cs="Arial"/>
                <w:snapToGrid w:val="0"/>
                <w:color w:val="000000"/>
                <w:sz w:val="18"/>
                <w:szCs w:val="18"/>
              </w:rPr>
              <w:t xml:space="preserve">  </w:t>
            </w:r>
          </w:p>
        </w:tc>
      </w:tr>
      <w:tr w:rsidR="003379BD" w14:paraId="1ABCDE1C" w14:textId="77777777" w:rsidTr="00DE3EE1">
        <w:trPr>
          <w:cantSplit/>
          <w:trHeight w:val="3024"/>
        </w:trPr>
        <w:tc>
          <w:tcPr>
            <w:tcW w:w="11448" w:type="dxa"/>
            <w:gridSpan w:val="2"/>
            <w:tcBorders>
              <w:top w:val="nil"/>
              <w:left w:val="nil"/>
              <w:bottom w:val="nil"/>
              <w:right w:val="nil"/>
            </w:tcBorders>
          </w:tcPr>
          <w:p w14:paraId="6BC0F620" w14:textId="77777777" w:rsidR="00DE3EE1" w:rsidRDefault="003379BD" w:rsidP="00DE3EE1">
            <w:pPr>
              <w:rPr>
                <w:rFonts w:ascii="Arial" w:hAnsi="Arial"/>
                <w:b/>
                <w:snapToGrid w:val="0"/>
                <w:color w:val="000000"/>
                <w:sz w:val="16"/>
              </w:rPr>
            </w:pPr>
            <w:r>
              <w:rPr>
                <w:rFonts w:ascii="Arial" w:hAnsi="Arial"/>
                <w:b/>
                <w:snapToGrid w:val="0"/>
                <w:color w:val="000000"/>
                <w:sz w:val="18"/>
              </w:rPr>
              <w:lastRenderedPageBreak/>
              <w:t xml:space="preserve">Warning </w:t>
            </w:r>
            <w:r>
              <w:rPr>
                <w:rFonts w:ascii="Arial" w:hAnsi="Arial"/>
                <w:b/>
                <w:snapToGrid w:val="0"/>
                <w:color w:val="000000"/>
                <w:sz w:val="16"/>
              </w:rPr>
              <w:t xml:space="preserve"> </w:t>
            </w:r>
          </w:p>
          <w:p w14:paraId="644176A9" w14:textId="235BF96F" w:rsidR="00DE3EE1" w:rsidRPr="00DE3EE1" w:rsidRDefault="00DE3EE1" w:rsidP="00DE3EE1">
            <w:pPr>
              <w:rPr>
                <w:rFonts w:ascii="Arial" w:hAnsi="Arial" w:cs="Arial"/>
                <w:snapToGrid w:val="0"/>
                <w:color w:val="000000"/>
                <w:sz w:val="18"/>
                <w:szCs w:val="18"/>
              </w:rPr>
            </w:pPr>
            <w:r w:rsidRPr="00DE3EE1">
              <w:rPr>
                <w:rFonts w:ascii="Arial" w:hAnsi="Arial" w:cs="Arial"/>
                <w:snapToGrid w:val="0"/>
                <w:color w:val="000000"/>
                <w:sz w:val="18"/>
                <w:szCs w:val="18"/>
              </w:rPr>
              <w:t xml:space="preserve">Black </w:t>
            </w:r>
            <w:r>
              <w:rPr>
                <w:rFonts w:ascii="Arial" w:hAnsi="Arial" w:cs="Arial"/>
                <w:snapToGrid w:val="0"/>
                <w:color w:val="000000"/>
                <w:sz w:val="18"/>
                <w:szCs w:val="18"/>
              </w:rPr>
              <w:t>B</w:t>
            </w:r>
            <w:r w:rsidRPr="00DE3EE1">
              <w:rPr>
                <w:rFonts w:ascii="Arial" w:hAnsi="Arial" w:cs="Arial"/>
                <w:snapToGrid w:val="0"/>
                <w:color w:val="000000"/>
                <w:sz w:val="18"/>
                <w:szCs w:val="18"/>
              </w:rPr>
              <w:t xml:space="preserve">ox </w:t>
            </w:r>
            <w:r>
              <w:rPr>
                <w:rFonts w:ascii="Arial" w:hAnsi="Arial" w:cs="Arial"/>
                <w:snapToGrid w:val="0"/>
                <w:color w:val="000000"/>
                <w:sz w:val="18"/>
                <w:szCs w:val="18"/>
              </w:rPr>
              <w:t>W</w:t>
            </w:r>
            <w:r w:rsidRPr="00DE3EE1">
              <w:rPr>
                <w:rFonts w:ascii="Arial" w:hAnsi="Arial" w:cs="Arial"/>
                <w:snapToGrid w:val="0"/>
                <w:color w:val="000000"/>
                <w:sz w:val="18"/>
                <w:szCs w:val="18"/>
              </w:rPr>
              <w:t>arning: Oral (Tablet; Tablet, Extended Release)</w:t>
            </w:r>
          </w:p>
          <w:p w14:paraId="3E722935" w14:textId="77777777" w:rsidR="00DE3EE1" w:rsidRPr="00DE3EE1" w:rsidRDefault="00DE3EE1" w:rsidP="00DE3EE1">
            <w:pPr>
              <w:rPr>
                <w:rFonts w:ascii="Arial" w:hAnsi="Arial" w:cs="Arial"/>
                <w:snapToGrid w:val="0"/>
                <w:color w:val="000000"/>
                <w:sz w:val="18"/>
                <w:szCs w:val="18"/>
              </w:rPr>
            </w:pPr>
            <w:r w:rsidRPr="00DE3EE1">
              <w:rPr>
                <w:rFonts w:ascii="Arial" w:hAnsi="Arial" w:cs="Arial"/>
                <w:snapToGrid w:val="0"/>
                <w:color w:val="000000"/>
                <w:sz w:val="18"/>
                <w:szCs w:val="18"/>
              </w:rPr>
              <w:t>Risks from Concomitant Use with Opioids; Abuse, Misuse, and Addiction and Dependence and Withdrawal Reactions.</w:t>
            </w:r>
          </w:p>
          <w:p w14:paraId="3CA39ABD" w14:textId="77777777" w:rsidR="00DE3EE1" w:rsidRPr="00DE3EE1" w:rsidRDefault="00DE3EE1" w:rsidP="00DE3EE1">
            <w:pPr>
              <w:rPr>
                <w:rFonts w:ascii="Arial" w:hAnsi="Arial" w:cs="Arial"/>
                <w:snapToGrid w:val="0"/>
                <w:color w:val="000000"/>
                <w:sz w:val="18"/>
                <w:szCs w:val="18"/>
              </w:rPr>
            </w:pPr>
            <w:r w:rsidRPr="00DE3EE1">
              <w:rPr>
                <w:rFonts w:ascii="Arial" w:hAnsi="Arial" w:cs="Arial"/>
                <w:snapToGrid w:val="0"/>
                <w:color w:val="000000"/>
                <w:sz w:val="18"/>
                <w:szCs w:val="18"/>
              </w:rPr>
              <w:t>Concomitant use of benzodiazepines and opioids may result in profound sedation, respiratory depression, coma, and death. Reserve concomitant prescribing of these drugs for patients for whom alternative treatment options are inadequate. Limit dosages and durations to the minimum required. Follow patients for signs and symptoms of respiratory depression and sedation.</w:t>
            </w:r>
          </w:p>
          <w:p w14:paraId="6B741F3F" w14:textId="77777777" w:rsidR="00DE3EE1" w:rsidRPr="00DE3EE1" w:rsidRDefault="00DE3EE1" w:rsidP="00DE3EE1">
            <w:pPr>
              <w:rPr>
                <w:rFonts w:ascii="Arial" w:hAnsi="Arial" w:cs="Arial"/>
                <w:snapToGrid w:val="0"/>
                <w:color w:val="000000"/>
                <w:sz w:val="18"/>
                <w:szCs w:val="18"/>
              </w:rPr>
            </w:pPr>
            <w:r w:rsidRPr="00DE3EE1">
              <w:rPr>
                <w:rFonts w:ascii="Arial" w:hAnsi="Arial" w:cs="Arial"/>
                <w:snapToGrid w:val="0"/>
                <w:color w:val="000000"/>
                <w:sz w:val="18"/>
                <w:szCs w:val="18"/>
              </w:rPr>
              <w:t>The use of benzodiazepines, including alprazolam, exposes users to risks of abuse, misuse, and addiction, which can lead to overdose or death. Abuse and misuse of benzodiazepines commonly involve concomitant use of other medications, alcohol, and/or illicit substances, which is associated with an increased frequency of serious adverse outcomes. Before prescribing alprazolam and throughout treatment, assess each patient's risk for abussure, misuse, and addiction.</w:t>
            </w:r>
          </w:p>
          <w:p w14:paraId="34CC3FEB" w14:textId="60DFA4E0" w:rsidR="003379BD" w:rsidRDefault="00DE3EE1" w:rsidP="00DE3EE1">
            <w:pPr>
              <w:rPr>
                <w:b/>
              </w:rPr>
            </w:pPr>
            <w:r w:rsidRPr="00DE3EE1">
              <w:rPr>
                <w:rFonts w:ascii="Arial" w:hAnsi="Arial" w:cs="Arial"/>
                <w:snapToGrid w:val="0"/>
                <w:color w:val="000000"/>
                <w:sz w:val="18"/>
                <w:szCs w:val="18"/>
              </w:rPr>
              <w:t>The continued use of benzodiazepines, including alprazolam, may lead to clinically significant physical dependence. The risks of dependence and withdrawal increase with longer treatment duration and higher daily dose. Abrupt discontinuation or rapid dosage reduction of alprazolam after continued use may precipitate acute withdrawal reactions, which can be life-threatening. To reduce the risk of withdrawal reactions, use a gradual taper to discontinue alprazolam or reduce the dosage</w:t>
            </w:r>
          </w:p>
        </w:tc>
      </w:tr>
      <w:tr w:rsidR="004553BF" w14:paraId="03A22388" w14:textId="77777777" w:rsidTr="00683097">
        <w:trPr>
          <w:cantSplit/>
          <w:trHeight w:val="639"/>
        </w:trPr>
        <w:tc>
          <w:tcPr>
            <w:tcW w:w="11448" w:type="dxa"/>
            <w:gridSpan w:val="2"/>
            <w:tcBorders>
              <w:top w:val="nil"/>
              <w:left w:val="nil"/>
              <w:bottom w:val="nil"/>
              <w:right w:val="nil"/>
            </w:tcBorders>
          </w:tcPr>
          <w:p w14:paraId="5AA19370" w14:textId="59E4BCC8" w:rsidR="0056414C" w:rsidRPr="00916D82" w:rsidRDefault="004553BF" w:rsidP="006A6CDD">
            <w:pPr>
              <w:rPr>
                <w:snapToGrid w:val="0"/>
                <w:color w:val="000000"/>
              </w:rPr>
            </w:pPr>
            <w:r>
              <w:rPr>
                <w:rFonts w:ascii="Arial" w:hAnsi="Arial"/>
                <w:b/>
                <w:snapToGrid w:val="0"/>
                <w:color w:val="000000"/>
                <w:sz w:val="18"/>
              </w:rPr>
              <w:t xml:space="preserve">Syndrome </w:t>
            </w:r>
            <w:proofErr w:type="gramStart"/>
            <w:r>
              <w:rPr>
                <w:rFonts w:ascii="Arial" w:hAnsi="Arial"/>
                <w:b/>
                <w:snapToGrid w:val="0"/>
                <w:color w:val="000000"/>
                <w:sz w:val="18"/>
              </w:rPr>
              <w:t>Note</w:t>
            </w:r>
            <w:r>
              <w:rPr>
                <w:rFonts w:ascii="Arial" w:hAnsi="Arial"/>
                <w:b/>
                <w:snapToGrid w:val="0"/>
                <w:color w:val="000000"/>
                <w:sz w:val="16"/>
              </w:rPr>
              <w:t xml:space="preserve">  </w:t>
            </w:r>
            <w:r w:rsidR="00DE3EE1" w:rsidRPr="00DE3EE1">
              <w:rPr>
                <w:rFonts w:ascii="Arial" w:hAnsi="Arial" w:cs="Arial"/>
                <w:snapToGrid w:val="0"/>
                <w:color w:val="000000"/>
                <w:sz w:val="18"/>
                <w:szCs w:val="18"/>
              </w:rPr>
              <w:t>Stevens</w:t>
            </w:r>
            <w:proofErr w:type="gramEnd"/>
            <w:r w:rsidR="00DE3EE1" w:rsidRPr="00DE3EE1">
              <w:rPr>
                <w:rFonts w:ascii="Arial" w:hAnsi="Arial" w:cs="Arial"/>
                <w:snapToGrid w:val="0"/>
                <w:color w:val="000000"/>
                <w:sz w:val="18"/>
                <w:szCs w:val="18"/>
              </w:rPr>
              <w:t>-Johnson syndrome: Stevens-Johnson syndrome has been reported with alprazolam therapy during postmarketing surveillance.</w:t>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143D84">
              <w:rPr>
                <w:rFonts w:ascii="Arial" w:hAnsi="Arial"/>
                <w:sz w:val="18"/>
              </w:rPr>
            </w:r>
            <w:r w:rsidR="00143D84">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143D84">
              <w:rPr>
                <w:rFonts w:ascii="Arial" w:hAnsi="Arial"/>
                <w:sz w:val="18"/>
              </w:rPr>
            </w:r>
            <w:r w:rsidR="00143D84">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143D84">
              <w:rPr>
                <w:rFonts w:ascii="Arial" w:hAnsi="Arial"/>
                <w:sz w:val="18"/>
              </w:rPr>
            </w:r>
            <w:r w:rsidR="00143D84">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143D84">
              <w:rPr>
                <w:rFonts w:ascii="Arial" w:hAnsi="Arial"/>
                <w:sz w:val="18"/>
              </w:rPr>
            </w:r>
            <w:r w:rsidR="00143D84">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143D84">
              <w:rPr>
                <w:rFonts w:ascii="Arial" w:hAnsi="Arial"/>
                <w:sz w:val="18"/>
              </w:rPr>
            </w:r>
            <w:r w:rsidR="00143D84">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6DF3" w14:textId="77777777" w:rsidR="007E524B" w:rsidRDefault="007E524B" w:rsidP="007A6FC3">
      <w:r>
        <w:separator/>
      </w:r>
    </w:p>
  </w:endnote>
  <w:endnote w:type="continuationSeparator" w:id="0">
    <w:p w14:paraId="0509C610" w14:textId="77777777" w:rsidR="007E524B" w:rsidRDefault="007E524B"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2613" w14:textId="77777777" w:rsidR="007E524B" w:rsidRDefault="007E524B" w:rsidP="007A6FC3">
      <w:r>
        <w:separator/>
      </w:r>
    </w:p>
  </w:footnote>
  <w:footnote w:type="continuationSeparator" w:id="0">
    <w:p w14:paraId="256275B1" w14:textId="77777777" w:rsidR="007E524B" w:rsidRDefault="007E524B"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hKdCDCIEzWjVySNOSwYnEK1YJ20+nbTuDVG7goRYaPnmXtvwH/9nVZGq4fA1B7E72Lzw/lrOxkh0pwCo0e6Ow==" w:salt="XrpsVl10T6LLxaVmdzgVg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7390"/>
    <w:rsid w:val="000D55C9"/>
    <w:rsid w:val="00101422"/>
    <w:rsid w:val="00143D84"/>
    <w:rsid w:val="0018307F"/>
    <w:rsid w:val="0021563E"/>
    <w:rsid w:val="00295B89"/>
    <w:rsid w:val="00305957"/>
    <w:rsid w:val="00311731"/>
    <w:rsid w:val="0031599E"/>
    <w:rsid w:val="003379BD"/>
    <w:rsid w:val="003A15FD"/>
    <w:rsid w:val="003B7033"/>
    <w:rsid w:val="003B70D9"/>
    <w:rsid w:val="003D356D"/>
    <w:rsid w:val="003E29B2"/>
    <w:rsid w:val="004553BF"/>
    <w:rsid w:val="00461DA8"/>
    <w:rsid w:val="0047002C"/>
    <w:rsid w:val="004C2872"/>
    <w:rsid w:val="004D379B"/>
    <w:rsid w:val="004F3A09"/>
    <w:rsid w:val="005325D4"/>
    <w:rsid w:val="00546EF3"/>
    <w:rsid w:val="005508EB"/>
    <w:rsid w:val="0056414C"/>
    <w:rsid w:val="00583275"/>
    <w:rsid w:val="005A70E2"/>
    <w:rsid w:val="005F3D5E"/>
    <w:rsid w:val="00606B81"/>
    <w:rsid w:val="00621771"/>
    <w:rsid w:val="0064565E"/>
    <w:rsid w:val="00653309"/>
    <w:rsid w:val="00683097"/>
    <w:rsid w:val="006A6CDD"/>
    <w:rsid w:val="006B7A42"/>
    <w:rsid w:val="006E28CA"/>
    <w:rsid w:val="00775C94"/>
    <w:rsid w:val="007A6FC3"/>
    <w:rsid w:val="007E524B"/>
    <w:rsid w:val="007F44C1"/>
    <w:rsid w:val="008E0D37"/>
    <w:rsid w:val="00916D82"/>
    <w:rsid w:val="00927055"/>
    <w:rsid w:val="00934FD5"/>
    <w:rsid w:val="00A05C70"/>
    <w:rsid w:val="00A60207"/>
    <w:rsid w:val="00A820BF"/>
    <w:rsid w:val="00A91411"/>
    <w:rsid w:val="00AA7ED4"/>
    <w:rsid w:val="00AB1650"/>
    <w:rsid w:val="00B23CEC"/>
    <w:rsid w:val="00B30D0E"/>
    <w:rsid w:val="00B47C64"/>
    <w:rsid w:val="00B82162"/>
    <w:rsid w:val="00B83999"/>
    <w:rsid w:val="00C461DF"/>
    <w:rsid w:val="00C5361C"/>
    <w:rsid w:val="00CA71B6"/>
    <w:rsid w:val="00CA7C90"/>
    <w:rsid w:val="00CC7A80"/>
    <w:rsid w:val="00D84D34"/>
    <w:rsid w:val="00DE3EE1"/>
    <w:rsid w:val="00DF0FF9"/>
    <w:rsid w:val="00E02750"/>
    <w:rsid w:val="00E7205C"/>
    <w:rsid w:val="00E75BED"/>
    <w:rsid w:val="00EA1297"/>
    <w:rsid w:val="00EE5A08"/>
    <w:rsid w:val="00EF5F71"/>
    <w:rsid w:val="00F55DC4"/>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1729</Words>
  <Characters>10378</Characters>
  <Application>Microsoft Office Word</Application>
  <DocSecurity>0</DocSecurity>
  <Lines>199</Lines>
  <Paragraphs>142</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3</cp:revision>
  <cp:lastPrinted>2008-02-05T17:04:00Z</cp:lastPrinted>
  <dcterms:created xsi:type="dcterms:W3CDTF">2024-09-06T15:07:00Z</dcterms:created>
  <dcterms:modified xsi:type="dcterms:W3CDTF">2024-09-06T15:07:00Z</dcterms:modified>
</cp:coreProperties>
</file>