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38" w:type="dxa"/>
        <w:tblLayout w:type="fixed"/>
        <w:tblLook w:val="0000" w:firstRow="0" w:lastRow="0" w:firstColumn="0" w:lastColumn="0" w:noHBand="0" w:noVBand="0"/>
      </w:tblPr>
      <w:tblGrid>
        <w:gridCol w:w="4068"/>
        <w:gridCol w:w="1530"/>
        <w:gridCol w:w="171"/>
        <w:gridCol w:w="2349"/>
        <w:gridCol w:w="1800"/>
        <w:gridCol w:w="1620"/>
      </w:tblGrid>
      <w:tr w:rsidR="00937E30" w:rsidTr="009704B1">
        <w:tblPrEx>
          <w:tblCellMar>
            <w:top w:w="0" w:type="dxa"/>
            <w:bottom w:w="0" w:type="dxa"/>
          </w:tblCellMar>
        </w:tblPrEx>
        <w:tc>
          <w:tcPr>
            <w:tcW w:w="5598" w:type="dxa"/>
            <w:gridSpan w:val="2"/>
          </w:tcPr>
          <w:p w:rsidR="00937E30" w:rsidRDefault="00937E30">
            <w:pPr>
              <w:pStyle w:val="Heading1"/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DEPARTMENT OF HEALTH SERVICES</w:t>
            </w:r>
          </w:p>
          <w:p w:rsidR="001522CF" w:rsidRPr="001522CF" w:rsidRDefault="001522CF" w:rsidP="00F34F09">
            <w:pPr>
              <w:pStyle w:val="Header"/>
              <w:rPr>
                <w:rFonts w:ascii="Arial" w:hAnsi="Arial" w:cs="Arial"/>
                <w:sz w:val="16"/>
                <w:szCs w:val="18"/>
              </w:rPr>
            </w:pPr>
            <w:r w:rsidRPr="001522CF">
              <w:rPr>
                <w:rFonts w:ascii="Arial" w:hAnsi="Arial" w:cs="Arial"/>
                <w:sz w:val="16"/>
                <w:szCs w:val="18"/>
              </w:rPr>
              <w:t>Division of Care and Treatment Services</w:t>
            </w:r>
          </w:p>
          <w:p w:rsidR="00937E30" w:rsidRDefault="003C57B6" w:rsidP="001522CF">
            <w:pPr>
              <w:spacing w:before="20"/>
              <w:rPr>
                <w:rFonts w:ascii="Arial" w:hAnsi="Arial"/>
                <w:sz w:val="15"/>
                <w:lang w:val="es-ES"/>
              </w:rPr>
            </w:pPr>
            <w:r>
              <w:rPr>
                <w:rFonts w:ascii="Arial" w:hAnsi="Arial"/>
                <w:sz w:val="16"/>
              </w:rPr>
              <w:t>F</w:t>
            </w:r>
            <w:r w:rsidR="00937E30"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>2</w:t>
            </w:r>
            <w:r w:rsidR="00937E30">
              <w:rPr>
                <w:rFonts w:ascii="Arial" w:hAnsi="Arial"/>
                <w:sz w:val="16"/>
              </w:rPr>
              <w:t>5614S</w:t>
            </w:r>
            <w:r>
              <w:rPr>
                <w:rFonts w:ascii="Arial" w:hAnsi="Arial"/>
                <w:sz w:val="16"/>
              </w:rPr>
              <w:t xml:space="preserve"> </w:t>
            </w:r>
            <w:r w:rsidR="00937E30">
              <w:rPr>
                <w:rFonts w:ascii="Arial" w:hAnsi="Arial"/>
                <w:sz w:val="16"/>
              </w:rPr>
              <w:t xml:space="preserve"> (0</w:t>
            </w:r>
            <w:r w:rsidR="001522CF">
              <w:rPr>
                <w:rFonts w:ascii="Arial" w:hAnsi="Arial"/>
                <w:sz w:val="16"/>
              </w:rPr>
              <w:t>1</w:t>
            </w:r>
            <w:r w:rsidR="00937E30"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>20</w:t>
            </w:r>
            <w:r w:rsidR="001522CF">
              <w:rPr>
                <w:rFonts w:ascii="Arial" w:hAnsi="Arial"/>
                <w:sz w:val="16"/>
              </w:rPr>
              <w:t>17</w:t>
            </w:r>
            <w:r w:rsidR="00937E30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940" w:type="dxa"/>
            <w:gridSpan w:val="4"/>
          </w:tcPr>
          <w:p w:rsidR="00937E30" w:rsidRDefault="00937E30">
            <w:pPr>
              <w:pStyle w:val="Heading2"/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 OF WISCONSIN</w:t>
            </w:r>
          </w:p>
          <w:p w:rsidR="00937E30" w:rsidRDefault="00937E30">
            <w:pPr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sz w:val="16"/>
                <w:lang w:val="fr-FR"/>
              </w:rPr>
              <w:t xml:space="preserve">Administrative Code </w:t>
            </w:r>
            <w:r w:rsidR="00F87975">
              <w:rPr>
                <w:rFonts w:ascii="Arial" w:hAnsi="Arial"/>
                <w:snapToGrid w:val="0"/>
                <w:sz w:val="16"/>
                <w:lang w:val="fr-FR"/>
              </w:rPr>
              <w:t>D</w:t>
            </w:r>
            <w:r>
              <w:rPr>
                <w:rFonts w:ascii="Arial" w:hAnsi="Arial"/>
                <w:snapToGrid w:val="0"/>
                <w:sz w:val="16"/>
                <w:lang w:val="fr-FR"/>
              </w:rPr>
              <w:t>HS 98</w:t>
            </w:r>
          </w:p>
        </w:tc>
      </w:tr>
      <w:tr w:rsidR="00937E30" w:rsidTr="009704B1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1538" w:type="dxa"/>
            <w:gridSpan w:val="6"/>
            <w:tcBorders>
              <w:bottom w:val="nil"/>
            </w:tcBorders>
            <w:vAlign w:val="center"/>
          </w:tcPr>
          <w:p w:rsidR="00937E30" w:rsidRDefault="00937E30">
            <w:pPr>
              <w:pStyle w:val="Heading9"/>
              <w:rPr>
                <w:rFonts w:ascii="Arial" w:hAnsi="Arial"/>
                <w:snapToGrid w:val="0"/>
                <w:sz w:val="24"/>
                <w:lang w:val="es-ES"/>
              </w:rPr>
            </w:pPr>
            <w:r>
              <w:rPr>
                <w:rFonts w:ascii="Arial" w:hAnsi="Arial"/>
                <w:snapToGrid w:val="0"/>
                <w:sz w:val="24"/>
                <w:lang w:val="es-ES"/>
              </w:rPr>
              <w:t>REGLAS Y CONDICIONES DE LIBERTAD CONDICIONAL</w:t>
            </w:r>
          </w:p>
          <w:p w:rsidR="00937E30" w:rsidRDefault="00937E30">
            <w:pPr>
              <w:pStyle w:val="Heading9"/>
              <w:rPr>
                <w:rFonts w:ascii="Arial" w:hAnsi="Arial"/>
                <w:sz w:val="15"/>
                <w:lang w:val="es-ES"/>
              </w:rPr>
            </w:pPr>
            <w:r w:rsidRPr="003C57B6">
              <w:rPr>
                <w:rFonts w:ascii="Arial" w:hAnsi="Arial"/>
                <w:b w:val="0"/>
                <w:snapToGrid w:val="0"/>
                <w:sz w:val="16"/>
                <w:lang w:val="es-ES"/>
              </w:rPr>
              <w:t xml:space="preserve">Es voluntario firmar este formulario. </w:t>
            </w:r>
            <w:r>
              <w:rPr>
                <w:rFonts w:ascii="Arial" w:hAnsi="Arial"/>
                <w:b w:val="0"/>
                <w:snapToGrid w:val="0"/>
                <w:sz w:val="16"/>
                <w:lang w:val="es-ES"/>
              </w:rPr>
              <w:t>Negarse a firmar el formulario puede causar revocación de libertad condicional</w:t>
            </w:r>
          </w:p>
        </w:tc>
      </w:tr>
      <w:tr w:rsidR="00937E30" w:rsidTr="009704B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1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7E30" w:rsidRDefault="00937E30">
            <w:pPr>
              <w:spacing w:before="30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napToGrid w:val="0"/>
                <w:color w:val="000000"/>
                <w:lang w:val="es-ES"/>
              </w:rPr>
              <w:t>Nombre – Cliente</w:t>
            </w:r>
          </w:p>
          <w:p w:rsidR="00937E30" w:rsidRDefault="00937E3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E30" w:rsidRDefault="00937E30">
            <w:pPr>
              <w:spacing w:before="30"/>
              <w:rPr>
                <w:rFonts w:ascii="Arial" w:hAnsi="Arial"/>
              </w:rPr>
            </w:pPr>
            <w:r>
              <w:rPr>
                <w:rFonts w:ascii="Arial" w:hAnsi="Arial"/>
                <w:snapToGrid w:val="0"/>
              </w:rPr>
              <w:t>Número ID</w:t>
            </w:r>
          </w:p>
          <w:p w:rsidR="00937E30" w:rsidRDefault="001E1D1D">
            <w:pPr>
              <w:rPr>
                <w:rFonts w:ascii="Arial" w:hAnsi="Arial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</w:tr>
      <w:tr w:rsidR="00937E30" w:rsidTr="009704B1">
        <w:tblPrEx>
          <w:tblCellMar>
            <w:top w:w="0" w:type="dxa"/>
            <w:bottom w:w="0" w:type="dxa"/>
          </w:tblCellMar>
        </w:tblPrEx>
        <w:tc>
          <w:tcPr>
            <w:tcW w:w="11538" w:type="dxa"/>
            <w:gridSpan w:val="6"/>
          </w:tcPr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snapToGrid w:val="0"/>
                <w:sz w:val="16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 xml:space="preserve">Como establece el Reglamento Administrativo </w:t>
            </w:r>
            <w:r w:rsidR="00F87975">
              <w:rPr>
                <w:rFonts w:ascii="Arial" w:hAnsi="Arial"/>
                <w:snapToGrid w:val="0"/>
                <w:sz w:val="16"/>
                <w:lang w:val="es-ES"/>
              </w:rPr>
              <w:t>D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>HS 98, usted puede hacer una revisión administrativa de algunos tipos de decisiones, mediante el proceso de queja del cliente.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Los siguientes son reglamentos adicionales a otras condiciones de orden judicial. Su libertad condicional puede revocarse si no cumple con alguna de las condiciones ordenadas por la corte o si usted viola alguno de los siguientes reglamentos.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1.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 xml:space="preserve">Usted debe evitar toda conducta que sea en violación del estatuto federal o estatal, ordenanzas municipales o del condado o que vayan en contra del 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bienestar público o de su rehabilitación.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2.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debe reportar a su agente, todos los arrestos o contacto que tenga con la policía dentro de 72 horas.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3.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debe cooperar  totalmente con todas las condiciones de libertad ordenadas por la corte.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4.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debe esforzarse por aceptar las oportunidades y consejos ofrecidos por la supervisión.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 w:rsidP="003C57B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360" w:hanging="360"/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ab/>
            </w:r>
            <w:r w:rsidRPr="003C57B6">
              <w:rPr>
                <w:rFonts w:ascii="Arial" w:hAnsi="Arial"/>
                <w:snapToGrid w:val="0"/>
                <w:sz w:val="16"/>
                <w:lang w:val="es-ES"/>
              </w:rPr>
              <w:t xml:space="preserve">La confidencialidad de los registros de tratamiento de drogas y alcohol se protegen por leyes y reglamentos federales. 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 xml:space="preserve">Generalmente, el personal del programa de tratamiento no puede revelar a un individuo fuera </w:t>
            </w:r>
            <w:r w:rsidR="003C57B6">
              <w:rPr>
                <w:rFonts w:ascii="Arial" w:hAnsi="Arial"/>
                <w:snapToGrid w:val="0"/>
                <w:sz w:val="16"/>
                <w:lang w:val="es-ES"/>
              </w:rPr>
              <w:t>del Depart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>ment</w:t>
            </w:r>
            <w:r w:rsidR="003C57B6">
              <w:rPr>
                <w:rFonts w:ascii="Arial" w:hAnsi="Arial"/>
                <w:snapToGrid w:val="0"/>
                <w:sz w:val="16"/>
                <w:lang w:val="es-ES"/>
              </w:rPr>
              <w:t xml:space="preserve"> of Health Services 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>o</w:t>
            </w:r>
            <w:r w:rsidR="003C57B6">
              <w:rPr>
                <w:rFonts w:ascii="Arial" w:hAnsi="Arial"/>
                <w:snapToGrid w:val="0"/>
                <w:sz w:val="16"/>
                <w:lang w:val="es-ES"/>
              </w:rPr>
              <w:t>r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 xml:space="preserve"> del Departament </w:t>
            </w:r>
            <w:r w:rsidR="003C57B6">
              <w:rPr>
                <w:rFonts w:ascii="Arial" w:hAnsi="Arial"/>
                <w:snapToGrid w:val="0"/>
                <w:sz w:val="16"/>
                <w:lang w:val="es-ES"/>
              </w:rPr>
              <w:t>of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 xml:space="preserve"> Correc</w:t>
            </w:r>
            <w:r w:rsidR="003C57B6">
              <w:rPr>
                <w:rFonts w:ascii="Arial" w:hAnsi="Arial"/>
                <w:snapToGrid w:val="0"/>
                <w:sz w:val="16"/>
                <w:lang w:val="es-ES"/>
              </w:rPr>
              <w:t xml:space="preserve">tions 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>que un cliente asiste al programa ni divulgar información que lo(a) identifique como drogadicto o alcohólico, excepto si: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ab/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</w:r>
            <w:r w:rsidRPr="003C57B6">
              <w:rPr>
                <w:rFonts w:ascii="Arial" w:hAnsi="Arial"/>
                <w:snapToGrid w:val="0"/>
                <w:sz w:val="16"/>
                <w:lang w:val="es-ES"/>
              </w:rPr>
              <w:t xml:space="preserve">a.  </w:t>
            </w:r>
            <w:r w:rsidRPr="003C57B6">
              <w:rPr>
                <w:rFonts w:ascii="Arial" w:hAnsi="Arial"/>
                <w:snapToGrid w:val="0"/>
                <w:sz w:val="16"/>
                <w:lang w:val="es-ES"/>
              </w:rPr>
              <w:tab/>
            </w:r>
            <w:r>
              <w:rPr>
                <w:rFonts w:ascii="Arial" w:hAnsi="Arial"/>
                <w:snapToGrid w:val="0"/>
                <w:sz w:val="16"/>
                <w:lang w:val="es-ES"/>
              </w:rPr>
              <w:t>Usted acepta por escrito.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ab/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b.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La divulgación se permite por una orden judicial.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ab/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c.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La divulgación se hace a personal médico en emergencia médica o a personal calificado para investigación, auditoría o evaluación de programa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ab/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d.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comete o amenaza con cometer un crimen en el programa o contra una persona que trabaja en el programa.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No se requiere autorizacón para revelar información para comunicación entre el DHS y DOC.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 xml:space="preserve">Violación de la ley y reglamento federal por parte de un programa es un crimen.  Estos reglamentos no protegen información sobre sospechas de 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negligencia o abuso de menores de ser reportada a las autoridades pertinentes, según la ley estatal.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Si se niega a firmar la autorización para divulgar información, incluyendo colocación para tratamiento, se considera que usted rechaza el programa.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5.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deberá cooperar totalmente con todos los tratamientos recomendados por su proveedor de salud mental y agente de libertad condicional.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6.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 xml:space="preserve">Usted deberá respetar todos los reglamentos de cualquier institución de salud mental y de corrección en las que reciba tratamiento o esté confinado. 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7.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deberá presentarse ante su agente para todas las citas, programadas o no, según le indiquen.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8.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deberá presentar un informe por escrito mensualmente como le indique su agente.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9.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debe presentar información verídica y correcta en forma oral y escrita como respuesta a las preguntas de su agente.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 w:rsidP="003C57B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360" w:hanging="360"/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10.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debe estar listo y disponible para registros o pruebas ordenadas por su agente, incluyendo pero no limitándose a exámenes de orina, analizador de aliento y pruebas de sangre o a inspecciones de su residencia o cualquier propiedad bajo su control.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11.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deberá informar a su agente todas sus actividades y su paradero como él/ella le indique.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12.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 xml:space="preserve">Usted no podrá cambiar de residencia o empleo sin aprobación anticipada de su agente o, en caso de emergencia, deberá notificar a su agente dentro de 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72 horas de hacerse el cambio.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13.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 xml:space="preserve">Usted no puede salir del país.  Tampoco puede salir del estado de Wisconsin.  La ley Administrativa </w:t>
            </w:r>
            <w:r w:rsidR="00F87975">
              <w:rPr>
                <w:rFonts w:ascii="Arial" w:hAnsi="Arial"/>
                <w:snapToGrid w:val="0"/>
                <w:sz w:val="16"/>
                <w:lang w:val="es-ES"/>
              </w:rPr>
              <w:t>D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 xml:space="preserve">HS 98.04(3)(k) del Estado de Wisconsin, prohíbe 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todos los viajes fuera del estado.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14.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no puede comprar, cambiar, vender o manejar vehículos de motor, excepto si tiene aprobación anticipada  de su agente y gerente de caso.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snapToGrid w:val="0"/>
                <w:sz w:val="16"/>
                <w:lang w:val="es-ES"/>
              </w:rPr>
            </w:pPr>
          </w:p>
          <w:p w:rsidR="00937E30" w:rsidRDefault="00937E30" w:rsidP="00F8797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360" w:hanging="360"/>
              <w:rPr>
                <w:snapToGrid w:val="0"/>
                <w:sz w:val="16"/>
                <w:lang w:val="es-ES"/>
              </w:rPr>
            </w:pPr>
            <w:r>
              <w:rPr>
                <w:snapToGrid w:val="0"/>
                <w:sz w:val="16"/>
                <w:lang w:val="es-ES"/>
              </w:rPr>
              <w:t>15.</w:t>
            </w:r>
            <w:r>
              <w:rPr>
                <w:snapToGrid w:val="0"/>
                <w:sz w:val="16"/>
                <w:lang w:val="es-ES"/>
              </w:rPr>
              <w:tab/>
              <w:t xml:space="preserve">Usted no puede comprar, poseer, tener o portar ningún arma de fuego en conformidad con </w:t>
            </w:r>
            <w:r>
              <w:rPr>
                <w:rFonts w:ascii="Arial" w:hAnsi="Arial"/>
                <w:sz w:val="16"/>
                <w:lang w:val="es-ES"/>
              </w:rPr>
              <w:t>Wis. Stats. s 941.29 y ley federal 18 USC § 922 (g)(4</w:t>
            </w:r>
            <w:r>
              <w:rPr>
                <w:rFonts w:ascii="Arial" w:hAnsi="Arial"/>
                <w:b/>
                <w:sz w:val="16"/>
                <w:lang w:val="es-ES"/>
              </w:rPr>
              <w:t>).</w:t>
            </w:r>
            <w:r>
              <w:rPr>
                <w:rFonts w:ascii="Arial" w:hAnsi="Arial"/>
                <w:sz w:val="16"/>
                <w:lang w:val="es-ES"/>
              </w:rPr>
              <w:t xml:space="preserve"> </w:t>
            </w:r>
            <w:r>
              <w:rPr>
                <w:snapToGrid w:val="0"/>
                <w:sz w:val="16"/>
                <w:lang w:val="es-ES"/>
              </w:rPr>
              <w:t>Su agente puede negarle el permiso para portar armas. Usted no puede comprar, poseer, tener o portar otro tipo de arma, como lo defina su agente, a menos que obtenga aprobación previa de su agente.</w:t>
            </w:r>
          </w:p>
          <w:p w:rsidR="00937E30" w:rsidRPr="003C57B6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16.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no podrá comprar, poseer o consumir alcohol ni otras drogas que no sean recetadas por un médico que lo esté tratando.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  <w:r>
              <w:rPr>
                <w:rFonts w:ascii="Arial" w:hAnsi="Arial"/>
                <w:snapToGrid w:val="0"/>
                <w:sz w:val="16"/>
                <w:lang w:val="es-ES"/>
              </w:rPr>
              <w:t>17.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no podrá pedir dinero prestado o comprar a crédito excepto si tiene aprobación anticipada de su agente.</w:t>
            </w:r>
          </w:p>
          <w:p w:rsidR="00937E30" w:rsidRDefault="00937E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/>
                <w:snapToGrid w:val="0"/>
                <w:sz w:val="16"/>
                <w:lang w:val="es-ES"/>
              </w:rPr>
            </w:pPr>
          </w:p>
          <w:p w:rsidR="00937E30" w:rsidRDefault="00937E30">
            <w:pPr>
              <w:spacing w:before="30"/>
              <w:rPr>
                <w:rFonts w:ascii="Arial" w:hAnsi="Arial"/>
                <w:lang w:val="es-ES"/>
              </w:rPr>
            </w:pPr>
            <w:r w:rsidRPr="003C57B6">
              <w:rPr>
                <w:rFonts w:ascii="Arial" w:hAnsi="Arial"/>
                <w:snapToGrid w:val="0"/>
                <w:sz w:val="16"/>
                <w:lang w:val="es-ES"/>
              </w:rPr>
              <w:t xml:space="preserve">18.  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 xml:space="preserve">Usted deberá seguir todos los reglamentos específicos que dictamine un agente para lograr los objetivos de su supervisión. Los reglamentos se pueden 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 xml:space="preserve">modificar en cualquier momento que sea adecuado. Los reglamentos específicos impuestos en ese momento se indican al reverso de este formulario. </w:t>
            </w:r>
            <w:r>
              <w:rPr>
                <w:rFonts w:ascii="Arial" w:hAnsi="Arial"/>
                <w:snapToGrid w:val="0"/>
                <w:sz w:val="16"/>
                <w:lang w:val="es-ES"/>
              </w:rPr>
              <w:tab/>
              <w:t>Usted debe poner sus iniciales en cada reglamento para mostrar que ha leído el reglamento.</w:t>
            </w:r>
          </w:p>
        </w:tc>
      </w:tr>
      <w:tr w:rsidR="00937E30" w:rsidTr="00970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9" w:type="dxa"/>
            <w:gridSpan w:val="3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937E30" w:rsidRDefault="00937E30">
            <w:pPr>
              <w:spacing w:before="30"/>
              <w:rPr>
                <w:rFonts w:ascii="Arial" w:hAnsi="Arial"/>
                <w:lang w:val="es-ES"/>
              </w:rPr>
            </w:pPr>
            <w:r>
              <w:rPr>
                <w:snapToGrid w:val="0"/>
                <w:color w:val="000000"/>
                <w:lang w:val="es-ES"/>
              </w:rPr>
              <w:t>Yo revisé y expliqué estos reglamentos al cliente.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</w:tcPr>
          <w:p w:rsidR="00937E30" w:rsidRDefault="00937E30">
            <w:pPr>
              <w:spacing w:before="30"/>
              <w:rPr>
                <w:rFonts w:ascii="Arial" w:hAnsi="Arial"/>
                <w:lang w:val="es-ES"/>
              </w:rPr>
            </w:pPr>
            <w:r>
              <w:rPr>
                <w:snapToGrid w:val="0"/>
                <w:color w:val="000000"/>
                <w:lang w:val="es-ES"/>
              </w:rPr>
              <w:t>Yo recibí una copia de estos reglamentos.</w:t>
            </w:r>
          </w:p>
        </w:tc>
      </w:tr>
      <w:tr w:rsidR="00937E30" w:rsidTr="009704B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68" w:type="dxa"/>
            <w:tcBorders>
              <w:top w:val="single" w:sz="2" w:space="0" w:color="auto"/>
              <w:bottom w:val="nil"/>
            </w:tcBorders>
          </w:tcPr>
          <w:p w:rsidR="00937E30" w:rsidRDefault="00937E30">
            <w:pPr>
              <w:spacing w:before="30"/>
              <w:rPr>
                <w:rFonts w:ascii="Arial" w:hAnsi="Arial"/>
                <w:lang w:val="es-ES"/>
              </w:rPr>
            </w:pPr>
            <w:r>
              <w:rPr>
                <w:b/>
                <w:snapToGrid w:val="0"/>
                <w:color w:val="000000"/>
                <w:lang w:val="es-ES"/>
              </w:rPr>
              <w:t xml:space="preserve">FIRMA </w:t>
            </w:r>
            <w:r>
              <w:rPr>
                <w:snapToGrid w:val="0"/>
                <w:lang w:val="es-ES"/>
              </w:rPr>
              <w:t>- Agente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nil"/>
              <w:right w:val="single" w:sz="18" w:space="0" w:color="auto"/>
            </w:tcBorders>
          </w:tcPr>
          <w:p w:rsidR="00937E30" w:rsidRDefault="00937E30">
            <w:pPr>
              <w:spacing w:before="30"/>
              <w:rPr>
                <w:rFonts w:ascii="Arial" w:hAnsi="Arial"/>
                <w:lang w:val="es-ES"/>
              </w:rPr>
            </w:pPr>
            <w:r>
              <w:rPr>
                <w:snapToGrid w:val="0"/>
                <w:color w:val="000000"/>
                <w:lang w:val="es-ES"/>
              </w:rPr>
              <w:t>Número de área</w:t>
            </w:r>
          </w:p>
        </w:tc>
        <w:tc>
          <w:tcPr>
            <w:tcW w:w="4149" w:type="dxa"/>
            <w:gridSpan w:val="2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:rsidR="00937E30" w:rsidRDefault="00937E30">
            <w:pPr>
              <w:spacing w:before="30"/>
              <w:rPr>
                <w:rFonts w:ascii="Arial" w:hAnsi="Arial"/>
                <w:lang w:val="es-ES"/>
              </w:rPr>
            </w:pPr>
            <w:r>
              <w:rPr>
                <w:b/>
                <w:snapToGrid w:val="0"/>
                <w:color w:val="000000"/>
                <w:lang w:val="es-ES"/>
              </w:rPr>
              <w:t xml:space="preserve">FIRMA </w:t>
            </w:r>
            <w:r>
              <w:rPr>
                <w:snapToGrid w:val="0"/>
                <w:lang w:val="es-ES"/>
              </w:rPr>
              <w:t>- Cliente</w:t>
            </w:r>
          </w:p>
        </w:tc>
        <w:tc>
          <w:tcPr>
            <w:tcW w:w="1620" w:type="dxa"/>
            <w:tcBorders>
              <w:top w:val="single" w:sz="2" w:space="0" w:color="auto"/>
              <w:bottom w:val="nil"/>
            </w:tcBorders>
          </w:tcPr>
          <w:p w:rsidR="00937E30" w:rsidRDefault="00937E30">
            <w:pPr>
              <w:spacing w:before="30"/>
              <w:rPr>
                <w:rFonts w:ascii="Arial" w:hAnsi="Arial"/>
                <w:lang w:val="es-ES"/>
              </w:rPr>
            </w:pPr>
            <w:r>
              <w:rPr>
                <w:snapToGrid w:val="0"/>
                <w:color w:val="000000"/>
                <w:lang w:val="es-ES"/>
              </w:rPr>
              <w:t>Fecha firmado</w:t>
            </w:r>
          </w:p>
        </w:tc>
      </w:tr>
      <w:tr w:rsidR="00937E30" w:rsidTr="009704B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68" w:type="dxa"/>
            <w:tcBorders>
              <w:bottom w:val="single" w:sz="4" w:space="0" w:color="auto"/>
              <w:right w:val="single" w:sz="4" w:space="0" w:color="auto"/>
            </w:tcBorders>
          </w:tcPr>
          <w:p w:rsidR="00937E30" w:rsidRDefault="00937E30">
            <w:pPr>
              <w:spacing w:before="30"/>
              <w:rPr>
                <w:rFonts w:ascii="Arial" w:hAnsi="Arial"/>
                <w:lang w:val="es-ES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937E30" w:rsidRDefault="00937E30">
            <w:pPr>
              <w:spacing w:before="30"/>
              <w:rPr>
                <w:rFonts w:ascii="Arial" w:hAnsi="Arial"/>
                <w:lang w:val="es-ES"/>
              </w:rPr>
            </w:pPr>
          </w:p>
        </w:tc>
        <w:tc>
          <w:tcPr>
            <w:tcW w:w="414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7E30" w:rsidRDefault="00937E30">
            <w:pPr>
              <w:spacing w:before="30"/>
              <w:rPr>
                <w:rFonts w:ascii="Arial" w:hAnsi="Arial"/>
                <w:lang w:val="es-ES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:rsidR="00937E30" w:rsidRDefault="00937E30">
            <w:pPr>
              <w:spacing w:before="30"/>
              <w:rPr>
                <w:rFonts w:ascii="Arial" w:hAnsi="Arial"/>
                <w:lang w:val="es-ES"/>
              </w:rPr>
            </w:pPr>
          </w:p>
        </w:tc>
      </w:tr>
    </w:tbl>
    <w:p w:rsidR="00937E30" w:rsidRDefault="00937E30">
      <w:pPr>
        <w:rPr>
          <w:lang w:val="es-ES"/>
        </w:rPr>
      </w:pPr>
    </w:p>
    <w:sectPr w:rsidR="00937E30">
      <w:type w:val="continuous"/>
      <w:pgSz w:w="12240" w:h="15840" w:code="1"/>
      <w:pgMar w:top="504" w:right="504" w:bottom="504" w:left="50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old 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C7798"/>
    <w:multiLevelType w:val="singleLevel"/>
    <w:tmpl w:val="CDEE9FA8"/>
    <w:lvl w:ilvl="0">
      <w:start w:val="5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aOW+aJ7XJpWG50SbrVYYTx943g=" w:salt="I3DtFt2/bOUoNGcYbTqtKA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C2"/>
    <w:rsid w:val="001522CF"/>
    <w:rsid w:val="001E1D1D"/>
    <w:rsid w:val="003C57B6"/>
    <w:rsid w:val="004F19C2"/>
    <w:rsid w:val="006E33F4"/>
    <w:rsid w:val="00860A18"/>
    <w:rsid w:val="00937E30"/>
    <w:rsid w:val="009704B1"/>
    <w:rsid w:val="00BF59B9"/>
    <w:rsid w:val="00EC54C7"/>
    <w:rsid w:val="00F34F09"/>
    <w:rsid w:val="00F531FA"/>
    <w:rsid w:val="00F8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Helvetica" w:hAnsi="Helvetica"/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5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5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 Bold Oblique" w:hAnsi="Helvetica Bold Oblique"/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spacing w:before="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pacing w:val="-3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rsid w:val="001522CF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152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Helvetica" w:hAnsi="Helvetica"/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5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5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 Bold Oblique" w:hAnsi="Helvetica Bold Oblique"/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spacing w:before="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pacing w:val="-3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rsid w:val="001522CF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152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Conditional Release Rules and Conditions, Spanish</vt:lpstr>
    </vt:vector>
  </TitlesOfParts>
  <Company>WI DHS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Release Rules and Conditions, Spanish</dc:title>
  <dc:creator>MMHI;WMHI;WRC</dc:creator>
  <cp:keywords>f-25614s, conditional, release, conditions, rules, spanish, 25614s</cp:keywords>
  <dc:description>REvised by Evelyn Cruz</dc:description>
  <cp:lastModifiedBy>Pritchard, James B</cp:lastModifiedBy>
  <cp:revision>2</cp:revision>
  <cp:lastPrinted>2002-06-26T15:30:00Z</cp:lastPrinted>
  <dcterms:created xsi:type="dcterms:W3CDTF">2019-08-15T14:26:00Z</dcterms:created>
  <dcterms:modified xsi:type="dcterms:W3CDTF">2019-08-15T14:26:00Z</dcterms:modified>
</cp:coreProperties>
</file>