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9144E" w14:textId="36B330E9" w:rsidR="00E93F56" w:rsidRPr="00903B92" w:rsidRDefault="00E93F56" w:rsidP="0020376C">
      <w:pPr>
        <w:pStyle w:val="Title"/>
        <w:jc w:val="center"/>
        <w:rPr>
          <w:rFonts w:ascii="Tahoma" w:hAnsi="Tahoma" w:cs="Tahoma"/>
          <w:sz w:val="40"/>
          <w:szCs w:val="40"/>
        </w:rPr>
      </w:pPr>
      <w:r w:rsidRPr="00903B92">
        <w:rPr>
          <w:rFonts w:ascii="Tahoma" w:hAnsi="Tahoma" w:cs="Tahoma"/>
          <w:sz w:val="40"/>
          <w:szCs w:val="40"/>
        </w:rPr>
        <w:t>Technical Notes</w:t>
      </w:r>
    </w:p>
    <w:p w14:paraId="03ECD9F1" w14:textId="602877EC" w:rsidR="00E93F56" w:rsidRPr="00903B92" w:rsidRDefault="00E93F56" w:rsidP="0020376C">
      <w:pPr>
        <w:pStyle w:val="Title"/>
        <w:jc w:val="center"/>
        <w:rPr>
          <w:rFonts w:ascii="Tahoma" w:hAnsi="Tahoma" w:cs="Tahoma"/>
          <w:sz w:val="28"/>
          <w:szCs w:val="28"/>
        </w:rPr>
      </w:pPr>
      <w:r w:rsidRPr="00903B92">
        <w:rPr>
          <w:rFonts w:ascii="Tahoma" w:hAnsi="Tahoma" w:cs="Tahoma"/>
          <w:sz w:val="28"/>
          <w:szCs w:val="28"/>
        </w:rPr>
        <w:t xml:space="preserve">Wisconsin </w:t>
      </w:r>
      <w:r w:rsidR="00EA2CD4" w:rsidRPr="00903B92">
        <w:rPr>
          <w:rFonts w:ascii="Tahoma" w:hAnsi="Tahoma" w:cs="Tahoma"/>
          <w:sz w:val="28"/>
          <w:szCs w:val="28"/>
        </w:rPr>
        <w:t>Death</w:t>
      </w:r>
      <w:r w:rsidRPr="00903B92">
        <w:rPr>
          <w:rFonts w:ascii="Tahoma" w:hAnsi="Tahoma" w:cs="Tahoma"/>
          <w:sz w:val="28"/>
          <w:szCs w:val="28"/>
        </w:rPr>
        <w:t xml:space="preserve"> Dashboards</w:t>
      </w:r>
      <w:r w:rsidR="00250F78" w:rsidRPr="00903B92">
        <w:rPr>
          <w:rFonts w:ascii="Tahoma" w:hAnsi="Tahoma" w:cs="Tahoma"/>
          <w:sz w:val="28"/>
          <w:szCs w:val="28"/>
        </w:rPr>
        <w:t>, 2018</w:t>
      </w:r>
      <w:r w:rsidR="00DF0F87" w:rsidRPr="00903B92">
        <w:rPr>
          <w:rFonts w:ascii="Tahoma" w:hAnsi="Tahoma" w:cs="Tahoma"/>
          <w:sz w:val="28"/>
          <w:szCs w:val="28"/>
        </w:rPr>
        <w:t>–</w:t>
      </w:r>
      <w:r w:rsidRPr="00903B92">
        <w:rPr>
          <w:rFonts w:ascii="Tahoma" w:hAnsi="Tahoma" w:cs="Tahoma"/>
          <w:sz w:val="28"/>
          <w:szCs w:val="28"/>
        </w:rPr>
        <w:t>202</w:t>
      </w:r>
      <w:r w:rsidR="00BC35A8" w:rsidRPr="00903B92">
        <w:rPr>
          <w:rFonts w:ascii="Tahoma" w:hAnsi="Tahoma" w:cs="Tahoma"/>
          <w:sz w:val="28"/>
          <w:szCs w:val="28"/>
        </w:rPr>
        <w:t>3</w:t>
      </w:r>
    </w:p>
    <w:p w14:paraId="16E51672" w14:textId="77777777" w:rsidR="009E34D7" w:rsidRPr="00903B92" w:rsidRDefault="009E34D7" w:rsidP="009E34D7">
      <w:pPr>
        <w:pBdr>
          <w:bottom w:val="single" w:sz="12" w:space="1" w:color="auto"/>
        </w:pBdr>
        <w:spacing w:after="0"/>
        <w:rPr>
          <w:rFonts w:ascii="Tahoma" w:hAnsi="Tahoma" w:cs="Tahoma"/>
          <w:sz w:val="24"/>
          <w:szCs w:val="24"/>
        </w:rPr>
      </w:pPr>
    </w:p>
    <w:p w14:paraId="6D9AC6D0" w14:textId="77777777" w:rsidR="009E34D7" w:rsidRPr="00903B92" w:rsidRDefault="009E34D7" w:rsidP="0020376C">
      <w:pPr>
        <w:pStyle w:val="Heading1"/>
        <w:rPr>
          <w:rFonts w:ascii="Tahoma" w:hAnsi="Tahoma" w:cs="Tahoma"/>
        </w:rPr>
      </w:pPr>
      <w:r w:rsidRPr="00903B92">
        <w:rPr>
          <w:rFonts w:ascii="Tahoma" w:hAnsi="Tahoma" w:cs="Tahoma"/>
        </w:rPr>
        <w:t>General Details</w:t>
      </w:r>
    </w:p>
    <w:p w14:paraId="513E6AB0" w14:textId="0596A7AD" w:rsidR="005B4D0A" w:rsidRPr="00903B92" w:rsidRDefault="005B4D0A" w:rsidP="005B4D0A">
      <w:pPr>
        <w:spacing w:after="0"/>
        <w:rPr>
          <w:rFonts w:ascii="Tahoma" w:hAnsi="Tahoma" w:cs="Tahoma"/>
          <w:sz w:val="20"/>
          <w:szCs w:val="20"/>
        </w:rPr>
      </w:pPr>
    </w:p>
    <w:p w14:paraId="6EF18AB0" w14:textId="34AAAF06" w:rsidR="00DD7DE8" w:rsidRPr="00903B92" w:rsidRDefault="00DD7DE8" w:rsidP="002E5B05">
      <w:pPr>
        <w:pStyle w:val="Heading2"/>
        <w:rPr>
          <w:rFonts w:ascii="Tahoma" w:hAnsi="Tahoma" w:cs="Tahoma"/>
          <w:b w:val="0"/>
        </w:rPr>
      </w:pPr>
      <w:r w:rsidRPr="00903B92">
        <w:rPr>
          <w:rFonts w:ascii="Tahoma" w:hAnsi="Tahoma" w:cs="Tahoma"/>
        </w:rPr>
        <w:t xml:space="preserve">Reporting </w:t>
      </w:r>
      <w:r w:rsidR="00DF0F87" w:rsidRPr="00903B92">
        <w:rPr>
          <w:rFonts w:ascii="Tahoma" w:hAnsi="Tahoma" w:cs="Tahoma"/>
        </w:rPr>
        <w:t>r</w:t>
      </w:r>
      <w:r w:rsidRPr="00903B92">
        <w:rPr>
          <w:rFonts w:ascii="Tahoma" w:hAnsi="Tahoma" w:cs="Tahoma"/>
        </w:rPr>
        <w:t>equirements</w:t>
      </w:r>
    </w:p>
    <w:p w14:paraId="7B4F8658" w14:textId="13D2E74C" w:rsidR="00DD7DE8" w:rsidRPr="00903B92" w:rsidRDefault="00DD7DE8" w:rsidP="00DD7DE8">
      <w:pPr>
        <w:pStyle w:val="NoSpacing"/>
        <w:rPr>
          <w:rFonts w:ascii="Tahoma" w:hAnsi="Tahoma" w:cs="Tahoma"/>
        </w:rPr>
      </w:pPr>
      <w:r w:rsidRPr="00903B92">
        <w:rPr>
          <w:rFonts w:ascii="Tahoma" w:hAnsi="Tahoma" w:cs="Tahoma"/>
        </w:rPr>
        <w:t xml:space="preserve">As specified in </w:t>
      </w:r>
      <w:hyperlink r:id="rId8" w:history="1">
        <w:r w:rsidRPr="00903B92">
          <w:rPr>
            <w:rStyle w:val="Hyperlink"/>
            <w:rFonts w:ascii="Tahoma" w:hAnsi="Tahoma" w:cs="Tahoma"/>
          </w:rPr>
          <w:t>Wis. Stat. § 69.03(9</w:t>
        </w:r>
      </w:hyperlink>
      <w:r w:rsidRPr="00903B92">
        <w:rPr>
          <w:rFonts w:ascii="Tahoma" w:hAnsi="Tahoma" w:cs="Tahoma"/>
        </w:rPr>
        <w:t>), the following is a brief outline of the sequence of events that take place when a death occurs in Wisconsin:</w:t>
      </w:r>
    </w:p>
    <w:p w14:paraId="00991D0D" w14:textId="45696AAC" w:rsidR="00DD7DE8" w:rsidRPr="00903B92" w:rsidRDefault="00DD7DE8" w:rsidP="00DD7DE8">
      <w:pPr>
        <w:pStyle w:val="NoSpacing"/>
        <w:rPr>
          <w:rFonts w:ascii="Tahoma" w:hAnsi="Tahoma" w:cs="Tahoma"/>
          <w:b/>
          <w:bCs/>
        </w:rPr>
      </w:pPr>
    </w:p>
    <w:p w14:paraId="25BEA183" w14:textId="65B3BFA2" w:rsidR="00DD7DE8" w:rsidRPr="00903B92" w:rsidRDefault="00DD7DE8" w:rsidP="00DD7DE8">
      <w:pPr>
        <w:pStyle w:val="NoSpacing"/>
        <w:numPr>
          <w:ilvl w:val="0"/>
          <w:numId w:val="3"/>
        </w:numPr>
        <w:rPr>
          <w:rFonts w:ascii="Tahoma" w:hAnsi="Tahoma" w:cs="Tahoma"/>
        </w:rPr>
      </w:pPr>
      <w:r w:rsidRPr="00903B92">
        <w:rPr>
          <w:rFonts w:ascii="Tahoma" w:hAnsi="Tahoma" w:cs="Tahoma"/>
        </w:rPr>
        <w:t xml:space="preserve">Within 24 hours after being notified of a death, the filing party (usually a funeral director) must create an electronic death record in the State Vital Records system and select the medical certifier </w:t>
      </w:r>
      <w:r w:rsidR="00096778" w:rsidRPr="00903B92">
        <w:rPr>
          <w:rFonts w:ascii="Tahoma" w:hAnsi="Tahoma" w:cs="Tahoma"/>
        </w:rPr>
        <w:t>(</w:t>
      </w:r>
      <w:r w:rsidRPr="00903B92">
        <w:rPr>
          <w:rFonts w:ascii="Tahoma" w:hAnsi="Tahoma" w:cs="Tahoma"/>
        </w:rPr>
        <w:t>i.e.</w:t>
      </w:r>
      <w:r w:rsidR="00096778" w:rsidRPr="00903B92">
        <w:rPr>
          <w:rFonts w:ascii="Tahoma" w:hAnsi="Tahoma" w:cs="Tahoma"/>
        </w:rPr>
        <w:t>,</w:t>
      </w:r>
      <w:r w:rsidRPr="00903B92">
        <w:rPr>
          <w:rFonts w:ascii="Tahoma" w:hAnsi="Tahoma" w:cs="Tahoma"/>
        </w:rPr>
        <w:t xml:space="preserve"> the physician, coroner, or medical examiner who is responsible for completing and certifying the medical portion of the death record</w:t>
      </w:r>
      <w:r w:rsidR="00096778" w:rsidRPr="00903B92">
        <w:rPr>
          <w:rFonts w:ascii="Tahoma" w:hAnsi="Tahoma" w:cs="Tahoma"/>
        </w:rPr>
        <w:t>)</w:t>
      </w:r>
      <w:r w:rsidRPr="00903B92">
        <w:rPr>
          <w:rFonts w:ascii="Tahoma" w:hAnsi="Tahoma" w:cs="Tahoma"/>
        </w:rPr>
        <w:t>.</w:t>
      </w:r>
    </w:p>
    <w:p w14:paraId="70E3A135" w14:textId="2030E1E1" w:rsidR="00DD7DE8" w:rsidRPr="00903B92" w:rsidRDefault="00DD7DE8" w:rsidP="00DD7DE8">
      <w:pPr>
        <w:pStyle w:val="NoSpacing"/>
        <w:numPr>
          <w:ilvl w:val="0"/>
          <w:numId w:val="3"/>
        </w:numPr>
        <w:rPr>
          <w:rFonts w:ascii="Tahoma" w:hAnsi="Tahoma" w:cs="Tahoma"/>
        </w:rPr>
      </w:pPr>
      <w:r w:rsidRPr="00903B92">
        <w:rPr>
          <w:rFonts w:ascii="Tahoma" w:hAnsi="Tahoma" w:cs="Tahoma"/>
        </w:rPr>
        <w:t>Within six days after the pronouncement of the death, the medical certifier must complete the medical portion of the death record and electronically certify that portion of the record.</w:t>
      </w:r>
    </w:p>
    <w:p w14:paraId="2BC24213" w14:textId="35AF8700" w:rsidR="00DD7DE8" w:rsidRPr="00903B92" w:rsidRDefault="00DD7DE8" w:rsidP="00DD7DE8">
      <w:pPr>
        <w:pStyle w:val="NoSpacing"/>
        <w:numPr>
          <w:ilvl w:val="0"/>
          <w:numId w:val="3"/>
        </w:numPr>
        <w:rPr>
          <w:rFonts w:ascii="Tahoma" w:hAnsi="Tahoma" w:cs="Tahoma"/>
        </w:rPr>
      </w:pPr>
      <w:r w:rsidRPr="00903B92">
        <w:rPr>
          <w:rFonts w:ascii="Tahoma" w:hAnsi="Tahoma" w:cs="Tahoma"/>
        </w:rPr>
        <w:t>Within two days after the medical certifier has certified the accuracy of the medical portion, the filing party must approve the death record. It will then be available in the State Vital Records system for the appropriate local vital records office (LVRO), comprised of 72 County Register of Deeds Offices and 2 City Health Offices. The LVRO will review the record</w:t>
      </w:r>
      <w:r w:rsidR="00096778" w:rsidRPr="00903B92">
        <w:rPr>
          <w:rFonts w:ascii="Tahoma" w:hAnsi="Tahoma" w:cs="Tahoma"/>
        </w:rPr>
        <w:t>.</w:t>
      </w:r>
      <w:r w:rsidRPr="00903B92">
        <w:rPr>
          <w:rFonts w:ascii="Tahoma" w:hAnsi="Tahoma" w:cs="Tahoma"/>
        </w:rPr>
        <w:t xml:space="preserve"> </w:t>
      </w:r>
      <w:r w:rsidR="00096778" w:rsidRPr="00903B92">
        <w:rPr>
          <w:rFonts w:ascii="Tahoma" w:hAnsi="Tahoma" w:cs="Tahoma"/>
        </w:rPr>
        <w:t>I</w:t>
      </w:r>
      <w:r w:rsidRPr="00903B92">
        <w:rPr>
          <w:rFonts w:ascii="Tahoma" w:hAnsi="Tahoma" w:cs="Tahoma"/>
        </w:rPr>
        <w:t>f the record is completed satisfactorily</w:t>
      </w:r>
      <w:r w:rsidR="00096778" w:rsidRPr="00903B92">
        <w:rPr>
          <w:rFonts w:ascii="Tahoma" w:hAnsi="Tahoma" w:cs="Tahoma"/>
        </w:rPr>
        <w:t xml:space="preserve"> it is</w:t>
      </w:r>
      <w:r w:rsidRPr="00903B92">
        <w:rPr>
          <w:rFonts w:ascii="Tahoma" w:hAnsi="Tahoma" w:cs="Tahoma"/>
        </w:rPr>
        <w:t xml:space="preserve"> accept</w:t>
      </w:r>
      <w:r w:rsidR="00096778" w:rsidRPr="00903B92">
        <w:rPr>
          <w:rFonts w:ascii="Tahoma" w:hAnsi="Tahoma" w:cs="Tahoma"/>
        </w:rPr>
        <w:t>ed</w:t>
      </w:r>
      <w:r w:rsidRPr="00903B92">
        <w:rPr>
          <w:rFonts w:ascii="Tahoma" w:hAnsi="Tahoma" w:cs="Tahoma"/>
        </w:rPr>
        <w:t xml:space="preserve"> for filing with the State Vital Records Office. There should be no more than nine calendar days total from date of death until the LVRO receives the electronic death record from the filing party.</w:t>
      </w:r>
    </w:p>
    <w:p w14:paraId="6708D810" w14:textId="20016200" w:rsidR="005B4D0A" w:rsidRPr="00903B92" w:rsidRDefault="00DD7DE8" w:rsidP="00DD7DE8">
      <w:pPr>
        <w:pStyle w:val="NoSpacing"/>
        <w:numPr>
          <w:ilvl w:val="0"/>
          <w:numId w:val="3"/>
        </w:numPr>
        <w:rPr>
          <w:rFonts w:ascii="Tahoma" w:hAnsi="Tahoma" w:cs="Tahoma"/>
        </w:rPr>
      </w:pPr>
      <w:r w:rsidRPr="00903B92">
        <w:rPr>
          <w:rFonts w:ascii="Tahoma" w:hAnsi="Tahoma" w:cs="Tahoma"/>
        </w:rPr>
        <w:t>Within 10 business days of receiving the electronic death record from the filing party, the LVRO must accept the record for filing. After the LVRO accepts the electronic death record, the record is ready for registration by the State Vital Records Office.</w:t>
      </w:r>
    </w:p>
    <w:p w14:paraId="683BAF2A" w14:textId="191FBE3D" w:rsidR="00DD7DE8" w:rsidRPr="00903B92" w:rsidRDefault="00DD7DE8" w:rsidP="00DD7DE8">
      <w:pPr>
        <w:pStyle w:val="NoSpacing"/>
        <w:rPr>
          <w:rFonts w:ascii="Tahoma" w:hAnsi="Tahoma" w:cs="Tahoma"/>
        </w:rPr>
      </w:pPr>
    </w:p>
    <w:p w14:paraId="5062824B" w14:textId="1E076CA2" w:rsidR="00DD7DE8" w:rsidRPr="00903B92" w:rsidRDefault="00DD7DE8" w:rsidP="002E5B05">
      <w:pPr>
        <w:pStyle w:val="Heading2"/>
        <w:rPr>
          <w:rFonts w:ascii="Tahoma" w:hAnsi="Tahoma" w:cs="Tahoma"/>
          <w:b w:val="0"/>
        </w:rPr>
      </w:pPr>
      <w:r w:rsidRPr="00903B92">
        <w:rPr>
          <w:rFonts w:ascii="Tahoma" w:hAnsi="Tahoma" w:cs="Tahoma"/>
        </w:rPr>
        <w:t xml:space="preserve">Nature and </w:t>
      </w:r>
      <w:r w:rsidR="00DF0F87" w:rsidRPr="00903B92">
        <w:rPr>
          <w:rFonts w:ascii="Tahoma" w:hAnsi="Tahoma" w:cs="Tahoma"/>
        </w:rPr>
        <w:t>s</w:t>
      </w:r>
      <w:r w:rsidRPr="00903B92">
        <w:rPr>
          <w:rFonts w:ascii="Tahoma" w:hAnsi="Tahoma" w:cs="Tahoma"/>
        </w:rPr>
        <w:t xml:space="preserve">ource of the </w:t>
      </w:r>
      <w:r w:rsidR="00DF0F87" w:rsidRPr="00903B92">
        <w:rPr>
          <w:rFonts w:ascii="Tahoma" w:hAnsi="Tahoma" w:cs="Tahoma"/>
        </w:rPr>
        <w:t>d</w:t>
      </w:r>
      <w:r w:rsidRPr="00903B92">
        <w:rPr>
          <w:rFonts w:ascii="Tahoma" w:hAnsi="Tahoma" w:cs="Tahoma"/>
        </w:rPr>
        <w:t>ata</w:t>
      </w:r>
    </w:p>
    <w:p w14:paraId="7B1DBA91" w14:textId="3EB39D94" w:rsidR="00DD7DE8" w:rsidRPr="00903B92" w:rsidRDefault="00DD7DE8" w:rsidP="00DD7DE8">
      <w:pPr>
        <w:pStyle w:val="NoSpacing"/>
        <w:rPr>
          <w:rFonts w:ascii="Tahoma" w:hAnsi="Tahoma" w:cs="Tahoma"/>
        </w:rPr>
      </w:pPr>
      <w:r w:rsidRPr="00903B92">
        <w:rPr>
          <w:rFonts w:ascii="Tahoma" w:hAnsi="Tahoma" w:cs="Tahoma"/>
        </w:rPr>
        <w:t xml:space="preserve">Data in the </w:t>
      </w:r>
      <w:r w:rsidR="00250F78" w:rsidRPr="00903B92">
        <w:rPr>
          <w:rFonts w:ascii="Tahoma" w:hAnsi="Tahoma" w:cs="Tahoma"/>
        </w:rPr>
        <w:t xml:space="preserve">Wisconsin Mortality Overview and Leading Causes of Mortality dashboards </w:t>
      </w:r>
      <w:r w:rsidRPr="00903B92">
        <w:rPr>
          <w:rFonts w:ascii="Tahoma" w:hAnsi="Tahoma" w:cs="Tahoma"/>
        </w:rPr>
        <w:t xml:space="preserve">are based on information from all Wisconsin resident deaths in the </w:t>
      </w:r>
      <w:r w:rsidR="00250F78" w:rsidRPr="00903B92">
        <w:rPr>
          <w:rFonts w:ascii="Tahoma" w:hAnsi="Tahoma" w:cs="Tahoma"/>
        </w:rPr>
        <w:t>2018</w:t>
      </w:r>
      <w:r w:rsidR="00694DBB" w:rsidRPr="00903B92">
        <w:rPr>
          <w:rFonts w:ascii="Tahoma" w:hAnsi="Tahoma" w:cs="Tahoma"/>
        </w:rPr>
        <w:t>–</w:t>
      </w:r>
      <w:r w:rsidR="00250F78" w:rsidRPr="00903B92">
        <w:rPr>
          <w:rFonts w:ascii="Tahoma" w:hAnsi="Tahoma" w:cs="Tahoma"/>
        </w:rPr>
        <w:t>202</w:t>
      </w:r>
      <w:r w:rsidR="00BC35A8" w:rsidRPr="00903B92">
        <w:rPr>
          <w:rFonts w:ascii="Tahoma" w:hAnsi="Tahoma" w:cs="Tahoma"/>
        </w:rPr>
        <w:t>3</w:t>
      </w:r>
      <w:r w:rsidRPr="00903B92">
        <w:rPr>
          <w:rFonts w:ascii="Tahoma" w:hAnsi="Tahoma" w:cs="Tahoma"/>
        </w:rPr>
        <w:t xml:space="preserve"> calendar year</w:t>
      </w:r>
      <w:r w:rsidR="00250F78" w:rsidRPr="00903B92">
        <w:rPr>
          <w:rFonts w:ascii="Tahoma" w:hAnsi="Tahoma" w:cs="Tahoma"/>
        </w:rPr>
        <w:t>s</w:t>
      </w:r>
      <w:r w:rsidR="000D43D5" w:rsidRPr="00903B92">
        <w:rPr>
          <w:rFonts w:ascii="Tahoma" w:hAnsi="Tahoma" w:cs="Tahoma"/>
        </w:rPr>
        <w:t xml:space="preserve"> reported</w:t>
      </w:r>
      <w:r w:rsidR="00D62300" w:rsidRPr="00903B92">
        <w:rPr>
          <w:rFonts w:ascii="Tahoma" w:hAnsi="Tahoma" w:cs="Tahoma"/>
        </w:rPr>
        <w:t xml:space="preserve"> to </w:t>
      </w:r>
      <w:r w:rsidR="006D7AF1" w:rsidRPr="00903B92">
        <w:rPr>
          <w:rFonts w:ascii="Tahoma" w:hAnsi="Tahoma" w:cs="Tahoma"/>
        </w:rPr>
        <w:t>The State Vital Records Office</w:t>
      </w:r>
      <w:r w:rsidR="000D43D5" w:rsidRPr="00903B92">
        <w:rPr>
          <w:rFonts w:ascii="Tahoma" w:hAnsi="Tahoma" w:cs="Tahoma"/>
        </w:rPr>
        <w:t xml:space="preserve"> before the cut-off date (Table 1)</w:t>
      </w:r>
      <w:r w:rsidRPr="00903B92">
        <w:rPr>
          <w:rFonts w:ascii="Tahoma" w:hAnsi="Tahoma" w:cs="Tahoma"/>
        </w:rPr>
        <w:t>. In 2013, the death certificate standard format was subject to several changes. The State Vital Records Office started collecting death</w:t>
      </w:r>
      <w:r w:rsidR="007967C3" w:rsidRPr="00903B92">
        <w:rPr>
          <w:rFonts w:ascii="Tahoma" w:hAnsi="Tahoma" w:cs="Tahoma"/>
        </w:rPr>
        <w:t xml:space="preserve"> </w:t>
      </w:r>
      <w:r w:rsidRPr="00903B92">
        <w:rPr>
          <w:rFonts w:ascii="Tahoma" w:hAnsi="Tahoma" w:cs="Tahoma"/>
        </w:rPr>
        <w:t>information</w:t>
      </w:r>
      <w:r w:rsidR="007967C3" w:rsidRPr="00903B92">
        <w:rPr>
          <w:rFonts w:ascii="Tahoma" w:hAnsi="Tahoma" w:cs="Tahoma"/>
        </w:rPr>
        <w:t xml:space="preserve"> </w:t>
      </w:r>
      <w:r w:rsidRPr="00903B92">
        <w:rPr>
          <w:rFonts w:ascii="Tahoma" w:hAnsi="Tahoma" w:cs="Tahoma"/>
        </w:rPr>
        <w:t>electronically</w:t>
      </w:r>
      <w:r w:rsidR="00096778" w:rsidRPr="00903B92">
        <w:rPr>
          <w:rFonts w:ascii="Tahoma" w:hAnsi="Tahoma" w:cs="Tahoma"/>
        </w:rPr>
        <w:t>. The office</w:t>
      </w:r>
      <w:r w:rsidRPr="00903B92">
        <w:rPr>
          <w:rFonts w:ascii="Tahoma" w:hAnsi="Tahoma" w:cs="Tahoma"/>
        </w:rPr>
        <w:t xml:space="preserve"> also changed race and ethnicity classifications, allowing more detail with the</w:t>
      </w:r>
      <w:r w:rsidR="007967C3" w:rsidRPr="00903B92">
        <w:rPr>
          <w:rFonts w:ascii="Tahoma" w:hAnsi="Tahoma" w:cs="Tahoma"/>
        </w:rPr>
        <w:t xml:space="preserve"> </w:t>
      </w:r>
      <w:r w:rsidRPr="00903B92">
        <w:rPr>
          <w:rFonts w:ascii="Tahoma" w:hAnsi="Tahoma" w:cs="Tahoma"/>
        </w:rPr>
        <w:t xml:space="preserve">inclusion of other races and multiple race designations. </w:t>
      </w:r>
    </w:p>
    <w:p w14:paraId="32326FE8" w14:textId="77777777" w:rsidR="00706075" w:rsidRPr="00903B92" w:rsidRDefault="00706075" w:rsidP="00DD7DE8">
      <w:pPr>
        <w:pStyle w:val="NoSpacing"/>
        <w:rPr>
          <w:rFonts w:ascii="Tahoma" w:hAnsi="Tahoma" w:cs="Tahoma"/>
        </w:rPr>
      </w:pPr>
    </w:p>
    <w:p w14:paraId="0471F786" w14:textId="77777777" w:rsidR="00706075" w:rsidRPr="00903B92" w:rsidRDefault="00706075" w:rsidP="00DD7DE8">
      <w:pPr>
        <w:pStyle w:val="NoSpacing"/>
        <w:rPr>
          <w:rFonts w:ascii="Tahoma" w:hAnsi="Tahoma" w:cs="Tahoma"/>
        </w:rPr>
      </w:pPr>
    </w:p>
    <w:p w14:paraId="3BA43CAC" w14:textId="77777777" w:rsidR="00706075" w:rsidRPr="00903B92" w:rsidRDefault="00706075" w:rsidP="00DD7DE8">
      <w:pPr>
        <w:pStyle w:val="NoSpacing"/>
        <w:rPr>
          <w:rFonts w:ascii="Tahoma" w:hAnsi="Tahoma" w:cs="Tahoma"/>
        </w:rPr>
      </w:pPr>
    </w:p>
    <w:p w14:paraId="0B1809BA" w14:textId="77777777" w:rsidR="00706075" w:rsidRPr="00903B92" w:rsidRDefault="00706075" w:rsidP="00DD7DE8">
      <w:pPr>
        <w:pStyle w:val="NoSpacing"/>
        <w:rPr>
          <w:rFonts w:ascii="Tahoma" w:hAnsi="Tahoma" w:cs="Tahoma"/>
        </w:rPr>
      </w:pPr>
    </w:p>
    <w:p w14:paraId="29645E92" w14:textId="77777777" w:rsidR="00706075" w:rsidRPr="00903B92" w:rsidRDefault="00706075" w:rsidP="00DD7DE8">
      <w:pPr>
        <w:pStyle w:val="NoSpacing"/>
        <w:rPr>
          <w:rFonts w:ascii="Tahoma" w:hAnsi="Tahoma" w:cs="Tahoma"/>
        </w:rPr>
      </w:pPr>
    </w:p>
    <w:p w14:paraId="544F2673" w14:textId="77777777" w:rsidR="00706075" w:rsidRPr="00903B92" w:rsidRDefault="00706075" w:rsidP="00DD7DE8">
      <w:pPr>
        <w:pStyle w:val="NoSpacing"/>
        <w:rPr>
          <w:rFonts w:ascii="Tahoma" w:hAnsi="Tahoma" w:cs="Tahoma"/>
        </w:rPr>
      </w:pPr>
    </w:p>
    <w:p w14:paraId="6B5C8849" w14:textId="77777777" w:rsidR="00706075" w:rsidRPr="00903B92" w:rsidRDefault="00706075" w:rsidP="00DD7DE8">
      <w:pPr>
        <w:pStyle w:val="NoSpacing"/>
        <w:rPr>
          <w:rFonts w:ascii="Tahoma" w:hAnsi="Tahoma" w:cs="Tahoma"/>
        </w:rPr>
      </w:pPr>
    </w:p>
    <w:p w14:paraId="1450058B" w14:textId="77777777" w:rsidR="00706075" w:rsidRPr="00903B92" w:rsidRDefault="00706075" w:rsidP="00DD7DE8">
      <w:pPr>
        <w:pStyle w:val="NoSpacing"/>
        <w:rPr>
          <w:rFonts w:ascii="Tahoma" w:hAnsi="Tahoma" w:cs="Tahoma"/>
        </w:rPr>
      </w:pPr>
    </w:p>
    <w:p w14:paraId="33C3A50D" w14:textId="77777777" w:rsidR="00706075" w:rsidRPr="00903B92" w:rsidRDefault="00706075" w:rsidP="00DD7DE8">
      <w:pPr>
        <w:pStyle w:val="NoSpacing"/>
        <w:rPr>
          <w:rFonts w:ascii="Tahoma" w:hAnsi="Tahoma" w:cs="Tahoma"/>
        </w:rPr>
      </w:pPr>
    </w:p>
    <w:p w14:paraId="4F389184" w14:textId="77777777" w:rsidR="00706075" w:rsidRPr="00903B92" w:rsidRDefault="00706075" w:rsidP="00DD7DE8">
      <w:pPr>
        <w:pStyle w:val="NoSpacing"/>
        <w:rPr>
          <w:rFonts w:ascii="Tahoma" w:hAnsi="Tahoma" w:cs="Tahoma"/>
        </w:rPr>
      </w:pPr>
    </w:p>
    <w:tbl>
      <w:tblPr>
        <w:tblW w:w="5000" w:type="pct"/>
        <w:tblLook w:val="04A0" w:firstRow="1" w:lastRow="0" w:firstColumn="1" w:lastColumn="0" w:noHBand="0" w:noVBand="1"/>
      </w:tblPr>
      <w:tblGrid>
        <w:gridCol w:w="3132"/>
        <w:gridCol w:w="6228"/>
      </w:tblGrid>
      <w:tr w:rsidR="00706075" w:rsidRPr="00706075" w14:paraId="4CD49CA0" w14:textId="77777777" w:rsidTr="00706075">
        <w:trPr>
          <w:trHeight w:val="373"/>
        </w:trPr>
        <w:tc>
          <w:tcPr>
            <w:tcW w:w="5000" w:type="pct"/>
            <w:gridSpan w:val="2"/>
            <w:tcBorders>
              <w:top w:val="nil"/>
              <w:left w:val="nil"/>
              <w:bottom w:val="single" w:sz="12" w:space="0" w:color="auto"/>
              <w:right w:val="nil"/>
            </w:tcBorders>
            <w:shd w:val="clear" w:color="auto" w:fill="auto"/>
            <w:vAlign w:val="bottom"/>
            <w:hideMark/>
          </w:tcPr>
          <w:p w14:paraId="708F8455" w14:textId="77777777" w:rsidR="00706075" w:rsidRPr="00706075" w:rsidRDefault="00706075" w:rsidP="00706075">
            <w:pPr>
              <w:spacing w:after="0" w:line="240" w:lineRule="auto"/>
              <w:rPr>
                <w:rFonts w:ascii="Tahoma" w:eastAsia="Times New Roman" w:hAnsi="Tahoma" w:cs="Tahoma"/>
                <w:b/>
                <w:bCs/>
                <w:color w:val="000000"/>
                <w:sz w:val="24"/>
                <w:szCs w:val="24"/>
              </w:rPr>
            </w:pPr>
            <w:r w:rsidRPr="00706075">
              <w:rPr>
                <w:rFonts w:ascii="Tahoma" w:eastAsia="Times New Roman" w:hAnsi="Tahoma" w:cs="Tahoma"/>
                <w:b/>
                <w:bCs/>
                <w:color w:val="000000"/>
                <w:sz w:val="24"/>
                <w:szCs w:val="24"/>
              </w:rPr>
              <w:t>Table 1. DHS reporting cut-off dates, by year of death</w:t>
            </w:r>
          </w:p>
        </w:tc>
      </w:tr>
      <w:tr w:rsidR="00706075" w:rsidRPr="00706075" w14:paraId="49276570" w14:textId="77777777" w:rsidTr="00706075">
        <w:trPr>
          <w:trHeight w:val="373"/>
        </w:trPr>
        <w:tc>
          <w:tcPr>
            <w:tcW w:w="1673" w:type="pct"/>
            <w:tcBorders>
              <w:top w:val="nil"/>
              <w:left w:val="nil"/>
              <w:bottom w:val="single" w:sz="12" w:space="0" w:color="auto"/>
              <w:right w:val="nil"/>
            </w:tcBorders>
            <w:shd w:val="clear" w:color="auto" w:fill="auto"/>
            <w:vAlign w:val="center"/>
            <w:hideMark/>
          </w:tcPr>
          <w:p w14:paraId="138987C2" w14:textId="77777777" w:rsidR="00706075" w:rsidRPr="00706075" w:rsidRDefault="00706075" w:rsidP="00706075">
            <w:pPr>
              <w:spacing w:after="0" w:line="240" w:lineRule="auto"/>
              <w:rPr>
                <w:rFonts w:ascii="Tahoma" w:eastAsia="Times New Roman" w:hAnsi="Tahoma" w:cs="Tahoma"/>
                <w:b/>
                <w:bCs/>
                <w:color w:val="000000"/>
                <w:sz w:val="24"/>
                <w:szCs w:val="24"/>
              </w:rPr>
            </w:pPr>
            <w:r w:rsidRPr="00706075">
              <w:rPr>
                <w:rFonts w:ascii="Tahoma" w:eastAsia="Times New Roman" w:hAnsi="Tahoma" w:cs="Tahoma"/>
                <w:b/>
                <w:bCs/>
                <w:color w:val="000000"/>
                <w:sz w:val="24"/>
                <w:szCs w:val="24"/>
              </w:rPr>
              <w:t>Year</w:t>
            </w:r>
          </w:p>
        </w:tc>
        <w:tc>
          <w:tcPr>
            <w:tcW w:w="3327" w:type="pct"/>
            <w:tcBorders>
              <w:top w:val="nil"/>
              <w:left w:val="nil"/>
              <w:bottom w:val="single" w:sz="12" w:space="0" w:color="auto"/>
              <w:right w:val="nil"/>
            </w:tcBorders>
            <w:shd w:val="clear" w:color="auto" w:fill="auto"/>
            <w:vAlign w:val="center"/>
            <w:hideMark/>
          </w:tcPr>
          <w:p w14:paraId="1E29EAF4" w14:textId="77777777" w:rsidR="00706075" w:rsidRPr="00706075" w:rsidRDefault="00706075" w:rsidP="00706075">
            <w:pPr>
              <w:spacing w:after="0" w:line="240" w:lineRule="auto"/>
              <w:rPr>
                <w:rFonts w:ascii="Tahoma" w:eastAsia="Times New Roman" w:hAnsi="Tahoma" w:cs="Tahoma"/>
                <w:b/>
                <w:bCs/>
                <w:color w:val="000000"/>
                <w:sz w:val="24"/>
                <w:szCs w:val="24"/>
              </w:rPr>
            </w:pPr>
            <w:r w:rsidRPr="00706075">
              <w:rPr>
                <w:rFonts w:ascii="Tahoma" w:eastAsia="Times New Roman" w:hAnsi="Tahoma" w:cs="Tahoma"/>
                <w:b/>
                <w:bCs/>
                <w:color w:val="000000"/>
                <w:sz w:val="24"/>
                <w:szCs w:val="24"/>
              </w:rPr>
              <w:t>Date</w:t>
            </w:r>
          </w:p>
        </w:tc>
      </w:tr>
      <w:tr w:rsidR="00706075" w:rsidRPr="00706075" w14:paraId="080DFEF2" w14:textId="77777777" w:rsidTr="00706075">
        <w:trPr>
          <w:trHeight w:val="373"/>
        </w:trPr>
        <w:tc>
          <w:tcPr>
            <w:tcW w:w="1673" w:type="pct"/>
            <w:tcBorders>
              <w:top w:val="nil"/>
              <w:left w:val="nil"/>
              <w:bottom w:val="nil"/>
              <w:right w:val="nil"/>
            </w:tcBorders>
            <w:shd w:val="clear" w:color="auto" w:fill="auto"/>
            <w:noWrap/>
            <w:vAlign w:val="bottom"/>
            <w:hideMark/>
          </w:tcPr>
          <w:p w14:paraId="076B4884"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2018</w:t>
            </w:r>
          </w:p>
        </w:tc>
        <w:tc>
          <w:tcPr>
            <w:tcW w:w="3327" w:type="pct"/>
            <w:tcBorders>
              <w:top w:val="nil"/>
              <w:left w:val="nil"/>
              <w:bottom w:val="nil"/>
              <w:right w:val="nil"/>
            </w:tcBorders>
            <w:shd w:val="clear" w:color="auto" w:fill="auto"/>
            <w:noWrap/>
            <w:vAlign w:val="bottom"/>
            <w:hideMark/>
          </w:tcPr>
          <w:p w14:paraId="39C9A6BA"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7/30/2019</w:t>
            </w:r>
          </w:p>
        </w:tc>
      </w:tr>
      <w:tr w:rsidR="00706075" w:rsidRPr="00706075" w14:paraId="071901BE" w14:textId="77777777" w:rsidTr="00706075">
        <w:trPr>
          <w:trHeight w:val="373"/>
        </w:trPr>
        <w:tc>
          <w:tcPr>
            <w:tcW w:w="1673" w:type="pct"/>
            <w:tcBorders>
              <w:top w:val="nil"/>
              <w:left w:val="nil"/>
              <w:bottom w:val="nil"/>
              <w:right w:val="nil"/>
            </w:tcBorders>
            <w:shd w:val="clear" w:color="000000" w:fill="F2F2F2"/>
            <w:noWrap/>
            <w:vAlign w:val="bottom"/>
            <w:hideMark/>
          </w:tcPr>
          <w:p w14:paraId="1BFA476F"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2019</w:t>
            </w:r>
          </w:p>
        </w:tc>
        <w:tc>
          <w:tcPr>
            <w:tcW w:w="3327" w:type="pct"/>
            <w:tcBorders>
              <w:top w:val="nil"/>
              <w:left w:val="nil"/>
              <w:bottom w:val="nil"/>
              <w:right w:val="nil"/>
            </w:tcBorders>
            <w:shd w:val="clear" w:color="000000" w:fill="F2F2F2"/>
            <w:noWrap/>
            <w:vAlign w:val="bottom"/>
            <w:hideMark/>
          </w:tcPr>
          <w:p w14:paraId="6B9325AB"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8/21/2020</w:t>
            </w:r>
          </w:p>
        </w:tc>
      </w:tr>
      <w:tr w:rsidR="00706075" w:rsidRPr="00706075" w14:paraId="7AE1A9EF" w14:textId="77777777" w:rsidTr="00706075">
        <w:trPr>
          <w:trHeight w:val="373"/>
        </w:trPr>
        <w:tc>
          <w:tcPr>
            <w:tcW w:w="1673" w:type="pct"/>
            <w:tcBorders>
              <w:top w:val="nil"/>
              <w:left w:val="nil"/>
              <w:bottom w:val="nil"/>
              <w:right w:val="nil"/>
            </w:tcBorders>
            <w:shd w:val="clear" w:color="auto" w:fill="auto"/>
            <w:noWrap/>
            <w:vAlign w:val="bottom"/>
            <w:hideMark/>
          </w:tcPr>
          <w:p w14:paraId="656489CC"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2020</w:t>
            </w:r>
          </w:p>
        </w:tc>
        <w:tc>
          <w:tcPr>
            <w:tcW w:w="3327" w:type="pct"/>
            <w:tcBorders>
              <w:top w:val="nil"/>
              <w:left w:val="nil"/>
              <w:bottom w:val="nil"/>
              <w:right w:val="nil"/>
            </w:tcBorders>
            <w:shd w:val="clear" w:color="auto" w:fill="auto"/>
            <w:noWrap/>
            <w:vAlign w:val="bottom"/>
            <w:hideMark/>
          </w:tcPr>
          <w:p w14:paraId="5D0744A7"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7/6/2021</w:t>
            </w:r>
          </w:p>
        </w:tc>
      </w:tr>
      <w:tr w:rsidR="00706075" w:rsidRPr="00706075" w14:paraId="27024C22" w14:textId="77777777" w:rsidTr="00706075">
        <w:trPr>
          <w:trHeight w:val="373"/>
        </w:trPr>
        <w:tc>
          <w:tcPr>
            <w:tcW w:w="1673" w:type="pct"/>
            <w:tcBorders>
              <w:top w:val="nil"/>
              <w:left w:val="nil"/>
              <w:bottom w:val="nil"/>
              <w:right w:val="nil"/>
            </w:tcBorders>
            <w:shd w:val="clear" w:color="000000" w:fill="F2F2F2"/>
            <w:noWrap/>
            <w:vAlign w:val="bottom"/>
            <w:hideMark/>
          </w:tcPr>
          <w:p w14:paraId="3E412BE9"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2021</w:t>
            </w:r>
          </w:p>
        </w:tc>
        <w:tc>
          <w:tcPr>
            <w:tcW w:w="3327" w:type="pct"/>
            <w:tcBorders>
              <w:top w:val="nil"/>
              <w:left w:val="nil"/>
              <w:bottom w:val="nil"/>
              <w:right w:val="nil"/>
            </w:tcBorders>
            <w:shd w:val="clear" w:color="000000" w:fill="F2F2F2"/>
            <w:noWrap/>
            <w:vAlign w:val="bottom"/>
            <w:hideMark/>
          </w:tcPr>
          <w:p w14:paraId="653E6DAC"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11/9/2022</w:t>
            </w:r>
          </w:p>
        </w:tc>
      </w:tr>
      <w:tr w:rsidR="00706075" w:rsidRPr="00706075" w14:paraId="353CD51E" w14:textId="77777777" w:rsidTr="00706075">
        <w:trPr>
          <w:trHeight w:val="373"/>
        </w:trPr>
        <w:tc>
          <w:tcPr>
            <w:tcW w:w="1673" w:type="pct"/>
            <w:tcBorders>
              <w:top w:val="nil"/>
              <w:left w:val="nil"/>
              <w:bottom w:val="nil"/>
              <w:right w:val="nil"/>
            </w:tcBorders>
            <w:shd w:val="clear" w:color="auto" w:fill="auto"/>
            <w:noWrap/>
            <w:vAlign w:val="bottom"/>
            <w:hideMark/>
          </w:tcPr>
          <w:p w14:paraId="1E2F765E"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2022</w:t>
            </w:r>
          </w:p>
        </w:tc>
        <w:tc>
          <w:tcPr>
            <w:tcW w:w="3327" w:type="pct"/>
            <w:tcBorders>
              <w:top w:val="nil"/>
              <w:left w:val="nil"/>
              <w:bottom w:val="nil"/>
              <w:right w:val="nil"/>
            </w:tcBorders>
            <w:shd w:val="clear" w:color="auto" w:fill="auto"/>
            <w:noWrap/>
            <w:vAlign w:val="bottom"/>
            <w:hideMark/>
          </w:tcPr>
          <w:p w14:paraId="1DDCA89A"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11/7/2023</w:t>
            </w:r>
          </w:p>
        </w:tc>
      </w:tr>
      <w:tr w:rsidR="00706075" w:rsidRPr="00706075" w14:paraId="63157831" w14:textId="77777777" w:rsidTr="00706075">
        <w:trPr>
          <w:trHeight w:val="373"/>
        </w:trPr>
        <w:tc>
          <w:tcPr>
            <w:tcW w:w="1673" w:type="pct"/>
            <w:tcBorders>
              <w:top w:val="nil"/>
              <w:left w:val="nil"/>
              <w:bottom w:val="nil"/>
              <w:right w:val="nil"/>
            </w:tcBorders>
            <w:shd w:val="clear" w:color="000000" w:fill="F2F2F2"/>
            <w:noWrap/>
            <w:vAlign w:val="bottom"/>
            <w:hideMark/>
          </w:tcPr>
          <w:p w14:paraId="79C8AA13"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2023</w:t>
            </w:r>
          </w:p>
        </w:tc>
        <w:tc>
          <w:tcPr>
            <w:tcW w:w="3327" w:type="pct"/>
            <w:tcBorders>
              <w:top w:val="nil"/>
              <w:left w:val="nil"/>
              <w:bottom w:val="nil"/>
              <w:right w:val="nil"/>
            </w:tcBorders>
            <w:shd w:val="clear" w:color="000000" w:fill="F2F2F2"/>
            <w:noWrap/>
            <w:vAlign w:val="bottom"/>
            <w:hideMark/>
          </w:tcPr>
          <w:p w14:paraId="2231945D" w14:textId="77777777" w:rsidR="00706075" w:rsidRPr="00706075" w:rsidRDefault="00706075" w:rsidP="00706075">
            <w:pPr>
              <w:spacing w:after="0" w:line="240" w:lineRule="auto"/>
              <w:rPr>
                <w:rFonts w:ascii="Tahoma" w:eastAsia="Times New Roman" w:hAnsi="Tahoma" w:cs="Tahoma"/>
                <w:color w:val="000000"/>
                <w:sz w:val="24"/>
                <w:szCs w:val="24"/>
              </w:rPr>
            </w:pPr>
            <w:r w:rsidRPr="00706075">
              <w:rPr>
                <w:rFonts w:ascii="Tahoma" w:eastAsia="Times New Roman" w:hAnsi="Tahoma" w:cs="Tahoma"/>
                <w:color w:val="000000"/>
                <w:sz w:val="24"/>
                <w:szCs w:val="24"/>
              </w:rPr>
              <w:t>11/14/2024</w:t>
            </w:r>
          </w:p>
        </w:tc>
      </w:tr>
    </w:tbl>
    <w:p w14:paraId="3AC226C9" w14:textId="77777777" w:rsidR="00706075" w:rsidRPr="00903B92" w:rsidRDefault="00706075" w:rsidP="00706075">
      <w:pPr>
        <w:rPr>
          <w:rFonts w:ascii="Tahoma" w:hAnsi="Tahoma" w:cs="Tahoma"/>
        </w:rPr>
      </w:pPr>
    </w:p>
    <w:p w14:paraId="6120C6E2" w14:textId="61D64AA9" w:rsidR="007967C3" w:rsidRPr="00903B92" w:rsidRDefault="00DD7DE8" w:rsidP="002E5B05">
      <w:pPr>
        <w:pStyle w:val="Heading2"/>
        <w:rPr>
          <w:rFonts w:ascii="Tahoma" w:hAnsi="Tahoma" w:cs="Tahoma"/>
          <w:b w:val="0"/>
          <w:bCs/>
          <w:szCs w:val="24"/>
        </w:rPr>
      </w:pPr>
      <w:r w:rsidRPr="00903B92">
        <w:rPr>
          <w:rFonts w:ascii="Tahoma" w:hAnsi="Tahoma" w:cs="Tahoma"/>
          <w:bCs/>
          <w:szCs w:val="24"/>
        </w:rPr>
        <w:t>Cause-of-</w:t>
      </w:r>
      <w:r w:rsidR="00DF0F87" w:rsidRPr="00903B92">
        <w:rPr>
          <w:rFonts w:ascii="Tahoma" w:hAnsi="Tahoma" w:cs="Tahoma"/>
          <w:bCs/>
          <w:szCs w:val="24"/>
        </w:rPr>
        <w:t>d</w:t>
      </w:r>
      <w:r w:rsidRPr="00903B92">
        <w:rPr>
          <w:rFonts w:ascii="Tahoma" w:hAnsi="Tahoma" w:cs="Tahoma"/>
          <w:bCs/>
          <w:szCs w:val="24"/>
        </w:rPr>
        <w:t xml:space="preserve">eath </w:t>
      </w:r>
      <w:r w:rsidR="00DF0F87" w:rsidRPr="00903B92">
        <w:rPr>
          <w:rFonts w:ascii="Tahoma" w:hAnsi="Tahoma" w:cs="Tahoma"/>
          <w:bCs/>
          <w:szCs w:val="24"/>
        </w:rPr>
        <w:t>c</w:t>
      </w:r>
      <w:r w:rsidRPr="00903B92">
        <w:rPr>
          <w:rFonts w:ascii="Tahoma" w:hAnsi="Tahoma" w:cs="Tahoma"/>
          <w:bCs/>
          <w:szCs w:val="24"/>
        </w:rPr>
        <w:t>lassification</w:t>
      </w:r>
    </w:p>
    <w:p w14:paraId="283937FC" w14:textId="414076F7" w:rsidR="00DD7DE8" w:rsidRPr="00903B92" w:rsidRDefault="00DD7DE8" w:rsidP="00DD7DE8">
      <w:pPr>
        <w:pStyle w:val="NoSpacing"/>
        <w:rPr>
          <w:rFonts w:ascii="Tahoma" w:hAnsi="Tahoma" w:cs="Tahoma"/>
          <w:b/>
          <w:bCs/>
        </w:rPr>
      </w:pPr>
      <w:r w:rsidRPr="00903B92">
        <w:rPr>
          <w:rFonts w:ascii="Tahoma" w:hAnsi="Tahoma" w:cs="Tahoma"/>
        </w:rPr>
        <w:t xml:space="preserve">Causes of death are coded according to the World Health Organization’s (WHO) International </w:t>
      </w:r>
    </w:p>
    <w:p w14:paraId="56999184" w14:textId="2CCAE72F" w:rsidR="00DD7DE8" w:rsidRPr="00903B92" w:rsidRDefault="00DD7DE8" w:rsidP="00DD7DE8">
      <w:pPr>
        <w:pStyle w:val="NoSpacing"/>
        <w:rPr>
          <w:rFonts w:ascii="Tahoma" w:hAnsi="Tahoma" w:cs="Tahoma"/>
        </w:rPr>
      </w:pPr>
      <w:r w:rsidRPr="00903B92">
        <w:rPr>
          <w:rFonts w:ascii="Tahoma" w:hAnsi="Tahoma" w:cs="Tahoma"/>
          <w:i/>
          <w:iCs/>
        </w:rPr>
        <w:t>Classification of Diseases</w:t>
      </w:r>
      <w:r w:rsidRPr="00903B92">
        <w:rPr>
          <w:rFonts w:ascii="Tahoma" w:hAnsi="Tahoma" w:cs="Tahoma"/>
        </w:rPr>
        <w:t>—Tenth Revision (ICD-10). This classification system is the current standard used by the NCHS. ICD-10 not only details disease classification, but also provides definitions, tabulation lists, the format of the death certificate, and the rules for coding</w:t>
      </w:r>
      <w:r w:rsidR="007967C3" w:rsidRPr="00903B92">
        <w:rPr>
          <w:rFonts w:ascii="Tahoma" w:hAnsi="Tahoma" w:cs="Tahoma"/>
        </w:rPr>
        <w:t xml:space="preserve"> </w:t>
      </w:r>
      <w:r w:rsidRPr="00903B92">
        <w:rPr>
          <w:rFonts w:ascii="Tahoma" w:hAnsi="Tahoma" w:cs="Tahoma"/>
        </w:rPr>
        <w:t xml:space="preserve">cause of death. Data presented on cause-of-death statistics are based solely on the underlying cause of death, which is defined as </w:t>
      </w:r>
      <w:r w:rsidR="00D62300" w:rsidRPr="00903B92">
        <w:rPr>
          <w:rFonts w:ascii="Tahoma" w:hAnsi="Tahoma" w:cs="Tahoma"/>
        </w:rPr>
        <w:t>“</w:t>
      </w:r>
      <w:r w:rsidRPr="00903B92">
        <w:rPr>
          <w:rFonts w:ascii="Tahoma" w:hAnsi="Tahoma" w:cs="Tahoma"/>
        </w:rPr>
        <w:t>the disease or injury which initiated the train of morbid events leading directly to death, or the circumstances of the accident or violence that</w:t>
      </w:r>
      <w:r w:rsidR="007967C3" w:rsidRPr="00903B92">
        <w:rPr>
          <w:rFonts w:ascii="Tahoma" w:hAnsi="Tahoma" w:cs="Tahoma"/>
        </w:rPr>
        <w:t xml:space="preserve"> </w:t>
      </w:r>
      <w:r w:rsidRPr="00903B92">
        <w:rPr>
          <w:rFonts w:ascii="Tahoma" w:hAnsi="Tahoma" w:cs="Tahoma"/>
        </w:rPr>
        <w:t>produced the fatal injury.” All the cause-of-death groupings used were recommended for state use by NCHS and WHIO.</w:t>
      </w:r>
    </w:p>
    <w:p w14:paraId="5C9E21DE" w14:textId="77777777" w:rsidR="00BF5FA6" w:rsidRPr="00903B92" w:rsidRDefault="00BF5FA6" w:rsidP="00DD7DE8">
      <w:pPr>
        <w:pStyle w:val="NoSpacing"/>
        <w:rPr>
          <w:rFonts w:ascii="Tahoma" w:hAnsi="Tahoma" w:cs="Tahoma"/>
        </w:rPr>
      </w:pPr>
    </w:p>
    <w:p w14:paraId="7C6D4281" w14:textId="5F7447DC" w:rsidR="00DD7DE8" w:rsidRPr="00903B92" w:rsidRDefault="00DD7DE8" w:rsidP="00DD7DE8">
      <w:pPr>
        <w:pStyle w:val="NoSpacing"/>
        <w:rPr>
          <w:rFonts w:ascii="Tahoma" w:hAnsi="Tahoma" w:cs="Tahoma"/>
        </w:rPr>
      </w:pPr>
      <w:r w:rsidRPr="00903B92">
        <w:rPr>
          <w:rFonts w:ascii="Tahoma" w:hAnsi="Tahoma" w:cs="Tahoma"/>
        </w:rPr>
        <w:t>The Office of Health Informatics (OHI) uses the guidelines described in annual issues of part</w:t>
      </w:r>
      <w:r w:rsidR="007967C3" w:rsidRPr="00903B92">
        <w:rPr>
          <w:rFonts w:ascii="Tahoma" w:hAnsi="Tahoma" w:cs="Tahoma"/>
        </w:rPr>
        <w:t xml:space="preserve"> </w:t>
      </w:r>
      <w:r w:rsidRPr="00903B92">
        <w:rPr>
          <w:rFonts w:ascii="Tahoma" w:hAnsi="Tahoma" w:cs="Tahoma"/>
        </w:rPr>
        <w:t xml:space="preserve">2a of the </w:t>
      </w:r>
      <w:hyperlink r:id="rId9" w:history="1">
        <w:r w:rsidRPr="00903B92">
          <w:rPr>
            <w:rStyle w:val="Hyperlink"/>
            <w:rFonts w:ascii="Tahoma" w:hAnsi="Tahoma" w:cs="Tahoma"/>
          </w:rPr>
          <w:t>NCHS Instruction Manual</w:t>
        </w:r>
      </w:hyperlink>
      <w:r w:rsidRPr="00903B92">
        <w:rPr>
          <w:rFonts w:ascii="Tahoma" w:hAnsi="Tahoma" w:cs="Tahoma"/>
        </w:rPr>
        <w:t xml:space="preserve">. Table </w:t>
      </w:r>
      <w:r w:rsidR="001B4C99" w:rsidRPr="00903B92">
        <w:rPr>
          <w:rFonts w:ascii="Tahoma" w:hAnsi="Tahoma" w:cs="Tahoma"/>
        </w:rPr>
        <w:t xml:space="preserve">2 (see </w:t>
      </w:r>
      <w:r w:rsidR="00FA2487" w:rsidRPr="00903B92">
        <w:rPr>
          <w:rFonts w:ascii="Tahoma" w:hAnsi="Tahoma" w:cs="Tahoma"/>
        </w:rPr>
        <w:t>appendix</w:t>
      </w:r>
      <w:r w:rsidR="001B4C99" w:rsidRPr="00903B92">
        <w:rPr>
          <w:rFonts w:ascii="Tahoma" w:hAnsi="Tahoma" w:cs="Tahoma"/>
        </w:rPr>
        <w:t>)</w:t>
      </w:r>
      <w:r w:rsidRPr="00903B92">
        <w:rPr>
          <w:rFonts w:ascii="Tahoma" w:hAnsi="Tahoma" w:cs="Tahoma"/>
        </w:rPr>
        <w:t xml:space="preserve"> shows the list of ICD-10 codes used for ranking.</w:t>
      </w:r>
      <w:r w:rsidR="007967C3" w:rsidRPr="00903B92">
        <w:rPr>
          <w:rFonts w:ascii="Tahoma" w:hAnsi="Tahoma" w:cs="Tahoma"/>
        </w:rPr>
        <w:t xml:space="preserve"> </w:t>
      </w:r>
      <w:r w:rsidRPr="00903B92">
        <w:rPr>
          <w:rFonts w:ascii="Tahoma" w:hAnsi="Tahoma" w:cs="Tahoma"/>
        </w:rPr>
        <w:t xml:space="preserve">The ranks are divided between decedents after the age of </w:t>
      </w:r>
      <w:r w:rsidR="009E51D7" w:rsidRPr="00903B92">
        <w:rPr>
          <w:rFonts w:ascii="Tahoma" w:hAnsi="Tahoma" w:cs="Tahoma"/>
        </w:rPr>
        <w:t>one</w:t>
      </w:r>
      <w:r w:rsidRPr="00903B92">
        <w:rPr>
          <w:rFonts w:ascii="Tahoma" w:hAnsi="Tahoma" w:cs="Tahoma"/>
        </w:rPr>
        <w:t xml:space="preserve"> and before, based on different</w:t>
      </w:r>
      <w:r w:rsidR="007967C3" w:rsidRPr="00903B92">
        <w:rPr>
          <w:rFonts w:ascii="Tahoma" w:hAnsi="Tahoma" w:cs="Tahoma"/>
        </w:rPr>
        <w:t xml:space="preserve"> </w:t>
      </w:r>
      <w:r w:rsidRPr="00903B92">
        <w:rPr>
          <w:rFonts w:ascii="Tahoma" w:hAnsi="Tahoma" w:cs="Tahoma"/>
        </w:rPr>
        <w:t>cause of death codes used for infants. For ease of presentation and use of data, some of the codes used by the NCHS were combined.</w:t>
      </w:r>
    </w:p>
    <w:p w14:paraId="3FCC475B" w14:textId="1ADA3D7C" w:rsidR="009E34D7" w:rsidRPr="00903B92" w:rsidRDefault="009E34D7" w:rsidP="00DD7DE8">
      <w:pPr>
        <w:pStyle w:val="NoSpacing"/>
        <w:rPr>
          <w:rFonts w:ascii="Tahoma" w:hAnsi="Tahoma" w:cs="Tahoma"/>
        </w:rPr>
      </w:pPr>
    </w:p>
    <w:p w14:paraId="54AA4FA8" w14:textId="37AF418A" w:rsidR="009E34D7" w:rsidRPr="00903B92" w:rsidRDefault="009E34D7" w:rsidP="002E5B05">
      <w:pPr>
        <w:pStyle w:val="Heading2"/>
        <w:rPr>
          <w:rFonts w:ascii="Tahoma" w:hAnsi="Tahoma" w:cs="Tahoma"/>
          <w:b w:val="0"/>
        </w:rPr>
      </w:pPr>
      <w:r w:rsidRPr="00903B92">
        <w:rPr>
          <w:rFonts w:ascii="Tahoma" w:hAnsi="Tahoma" w:cs="Tahoma"/>
        </w:rPr>
        <w:t>Population</w:t>
      </w:r>
      <w:r w:rsidR="00863397" w:rsidRPr="00903B92">
        <w:rPr>
          <w:rFonts w:ascii="Tahoma" w:hAnsi="Tahoma" w:cs="Tahoma"/>
        </w:rPr>
        <w:t xml:space="preserve"> estimates</w:t>
      </w:r>
    </w:p>
    <w:p w14:paraId="074C9C6F" w14:textId="77777777" w:rsidR="00A94124" w:rsidRPr="00903B92" w:rsidRDefault="00A94124" w:rsidP="00A94124">
      <w:pPr>
        <w:rPr>
          <w:rFonts w:ascii="Tahoma" w:hAnsi="Tahoma" w:cs="Tahoma"/>
          <w:sz w:val="20"/>
          <w:szCs w:val="20"/>
        </w:rPr>
      </w:pPr>
      <w:r w:rsidRPr="00903B92">
        <w:rPr>
          <w:rFonts w:ascii="Tahoma" w:hAnsi="Tahoma" w:cs="Tahoma"/>
          <w:sz w:val="20"/>
          <w:szCs w:val="20"/>
        </w:rPr>
        <w:t>Below are the current sources for calculating population-based health statistics such as age-specific fertility rates:</w:t>
      </w:r>
    </w:p>
    <w:p w14:paraId="211A01CD" w14:textId="77777777" w:rsidR="00A94124" w:rsidRPr="00903B92" w:rsidRDefault="00A94124" w:rsidP="00A94124">
      <w:pPr>
        <w:pStyle w:val="ListParagraph"/>
        <w:numPr>
          <w:ilvl w:val="0"/>
          <w:numId w:val="4"/>
        </w:numPr>
        <w:rPr>
          <w:rFonts w:ascii="Tahoma" w:hAnsi="Tahoma" w:cs="Tahoma"/>
          <w:sz w:val="20"/>
          <w:szCs w:val="20"/>
        </w:rPr>
      </w:pPr>
      <w:r w:rsidRPr="00903B92">
        <w:rPr>
          <w:rFonts w:ascii="Tahoma" w:hAnsi="Tahoma" w:cs="Tahoma"/>
          <w:sz w:val="20"/>
          <w:szCs w:val="20"/>
        </w:rPr>
        <w:t xml:space="preserve">2018-2022 rates: U.S. Census Bureau (2023). Wisconsin annual county resident population by single year of age, sex, race, and Hispanic ethnicity, Vintage 2022. </w:t>
      </w:r>
    </w:p>
    <w:p w14:paraId="7DC3E724" w14:textId="77777777" w:rsidR="00A94124" w:rsidRPr="00903B92" w:rsidRDefault="00A94124" w:rsidP="00A94124">
      <w:pPr>
        <w:pStyle w:val="ListParagraph"/>
        <w:numPr>
          <w:ilvl w:val="0"/>
          <w:numId w:val="4"/>
        </w:numPr>
        <w:rPr>
          <w:rFonts w:ascii="Tahoma" w:hAnsi="Tahoma" w:cs="Tahoma"/>
          <w:sz w:val="20"/>
          <w:szCs w:val="20"/>
        </w:rPr>
      </w:pPr>
      <w:r w:rsidRPr="00903B92">
        <w:rPr>
          <w:rFonts w:ascii="Tahoma" w:hAnsi="Tahoma" w:cs="Tahoma"/>
          <w:sz w:val="20"/>
          <w:szCs w:val="20"/>
        </w:rPr>
        <w:t>U.S. Census Bureau (2024). Wisconsin annual county resident population by single year of age, sex, race, and Hispanic ethnicity, Vintage 2023.</w:t>
      </w:r>
    </w:p>
    <w:p w14:paraId="5F874FD4" w14:textId="77777777" w:rsidR="00A94124" w:rsidRPr="00903B92" w:rsidRDefault="00A94124" w:rsidP="00A94124">
      <w:pPr>
        <w:rPr>
          <w:rFonts w:ascii="Tahoma" w:hAnsi="Tahoma" w:cs="Tahoma"/>
          <w:sz w:val="20"/>
          <w:szCs w:val="20"/>
        </w:rPr>
      </w:pPr>
      <w:r w:rsidRPr="00903B92">
        <w:rPr>
          <w:rFonts w:ascii="Tahoma" w:hAnsi="Tahoma" w:cs="Tahoma"/>
          <w:sz w:val="20"/>
          <w:szCs w:val="20"/>
        </w:rPr>
        <w:t xml:space="preserve">These population estimates are accessible via the </w:t>
      </w:r>
      <w:hyperlink r:id="rId10" w:history="1">
        <w:r w:rsidRPr="00903B92">
          <w:rPr>
            <w:rStyle w:val="Hyperlink"/>
            <w:rFonts w:ascii="Tahoma" w:hAnsi="Tahoma" w:cs="Tahoma"/>
            <w:sz w:val="20"/>
            <w:szCs w:val="20"/>
          </w:rPr>
          <w:t>Wisconsin Interactive Statistics on Health (WISH) Query System.</w:t>
        </w:r>
      </w:hyperlink>
      <w:r w:rsidRPr="00903B92">
        <w:rPr>
          <w:rFonts w:ascii="Tahoma" w:hAnsi="Tahoma" w:cs="Tahoma"/>
          <w:sz w:val="20"/>
          <w:szCs w:val="20"/>
        </w:rPr>
        <w:t xml:space="preserve"> </w:t>
      </w:r>
    </w:p>
    <w:p w14:paraId="5E180159" w14:textId="4400BEB9" w:rsidR="009E34D7" w:rsidRPr="00903B92" w:rsidRDefault="009E34D7" w:rsidP="002E5B05">
      <w:pPr>
        <w:pStyle w:val="Heading2"/>
        <w:rPr>
          <w:rFonts w:ascii="Tahoma" w:hAnsi="Tahoma" w:cs="Tahoma"/>
        </w:rPr>
      </w:pPr>
      <w:r w:rsidRPr="00903B92">
        <w:rPr>
          <w:rFonts w:ascii="Tahoma" w:hAnsi="Tahoma" w:cs="Tahoma"/>
        </w:rPr>
        <w:t>Race</w:t>
      </w:r>
      <w:r w:rsidR="00DF0F87" w:rsidRPr="00903B92">
        <w:rPr>
          <w:rFonts w:ascii="Tahoma" w:hAnsi="Tahoma" w:cs="Tahoma"/>
        </w:rPr>
        <w:t xml:space="preserve"> and e</w:t>
      </w:r>
      <w:r w:rsidRPr="00903B92">
        <w:rPr>
          <w:rFonts w:ascii="Tahoma" w:hAnsi="Tahoma" w:cs="Tahoma"/>
        </w:rPr>
        <w:t>thnicity</w:t>
      </w:r>
    </w:p>
    <w:p w14:paraId="405FED6C" w14:textId="43DE601B" w:rsidR="006970AF" w:rsidRPr="00903B92" w:rsidRDefault="006970AF" w:rsidP="006970AF">
      <w:pPr>
        <w:pStyle w:val="NoSpacing"/>
        <w:rPr>
          <w:rFonts w:ascii="Tahoma" w:hAnsi="Tahoma" w:cs="Tahoma"/>
        </w:rPr>
      </w:pPr>
      <w:r w:rsidRPr="00903B92">
        <w:rPr>
          <w:rFonts w:ascii="Tahoma" w:hAnsi="Tahoma" w:cs="Tahoma"/>
        </w:rPr>
        <w:t>Beginning in 2013, race and ethnicity were reported separately. A total of 26 fields were created to classify race in addition to the fields used for identifying Hispanic groups. Starting with 2022 data products, the race and ethnicity variable was modified to more closely match population estimates provided by the U.S. Census. T</w:t>
      </w:r>
      <w:r w:rsidRPr="00903B92">
        <w:rPr>
          <w:rFonts w:ascii="Tahoma" w:hAnsi="Tahoma" w:cs="Tahoma"/>
        </w:rPr>
        <w:t>able 3</w:t>
      </w:r>
      <w:r w:rsidRPr="00903B92">
        <w:rPr>
          <w:rFonts w:ascii="Tahoma" w:hAnsi="Tahoma" w:cs="Tahoma"/>
        </w:rPr>
        <w:t xml:space="preserve"> shows the categorization based on race and ethnicity information reported on the death certificate.</w:t>
      </w:r>
    </w:p>
    <w:p w14:paraId="1EA4E66A" w14:textId="77777777" w:rsidR="006970AF" w:rsidRPr="00903B92" w:rsidRDefault="006970AF" w:rsidP="006970AF">
      <w:pPr>
        <w:rPr>
          <w:rFonts w:ascii="Tahoma" w:hAnsi="Tahoma" w:cs="Tahoma"/>
        </w:rPr>
      </w:pPr>
    </w:p>
    <w:tbl>
      <w:tblPr>
        <w:tblW w:w="0" w:type="auto"/>
        <w:tblLook w:val="04A0" w:firstRow="1" w:lastRow="0" w:firstColumn="1" w:lastColumn="0" w:noHBand="0" w:noVBand="1"/>
      </w:tblPr>
      <w:tblGrid>
        <w:gridCol w:w="2472"/>
        <w:gridCol w:w="6888"/>
      </w:tblGrid>
      <w:tr w:rsidR="00706075" w:rsidRPr="00706075" w14:paraId="2B5695E1" w14:textId="77777777" w:rsidTr="00706075">
        <w:trPr>
          <w:trHeight w:val="300"/>
        </w:trPr>
        <w:tc>
          <w:tcPr>
            <w:tcW w:w="0" w:type="auto"/>
            <w:gridSpan w:val="2"/>
            <w:tcBorders>
              <w:top w:val="nil"/>
              <w:left w:val="nil"/>
              <w:bottom w:val="nil"/>
              <w:right w:val="nil"/>
            </w:tcBorders>
            <w:shd w:val="clear" w:color="auto" w:fill="auto"/>
            <w:noWrap/>
            <w:hideMark/>
          </w:tcPr>
          <w:p w14:paraId="69743D0A" w14:textId="77777777" w:rsidR="00706075" w:rsidRPr="00706075" w:rsidRDefault="00706075" w:rsidP="00706075">
            <w:pPr>
              <w:spacing w:after="0" w:line="240" w:lineRule="auto"/>
              <w:rPr>
                <w:rFonts w:ascii="Tahoma" w:eastAsia="Times New Roman" w:hAnsi="Tahoma" w:cs="Tahoma"/>
                <w:b/>
                <w:bCs/>
                <w:color w:val="000000"/>
              </w:rPr>
            </w:pPr>
            <w:r w:rsidRPr="00706075">
              <w:rPr>
                <w:rFonts w:ascii="Tahoma" w:eastAsia="Times New Roman" w:hAnsi="Tahoma" w:cs="Tahoma"/>
                <w:b/>
                <w:bCs/>
                <w:color w:val="000000"/>
              </w:rPr>
              <w:t xml:space="preserve">Table 3. Race and ethnicity classifications </w:t>
            </w:r>
          </w:p>
        </w:tc>
      </w:tr>
      <w:tr w:rsidR="00706075" w:rsidRPr="00706075" w14:paraId="50BC747B" w14:textId="77777777" w:rsidTr="00706075">
        <w:trPr>
          <w:trHeight w:val="312"/>
        </w:trPr>
        <w:tc>
          <w:tcPr>
            <w:tcW w:w="0" w:type="auto"/>
            <w:tcBorders>
              <w:top w:val="single" w:sz="12" w:space="0" w:color="auto"/>
              <w:left w:val="nil"/>
              <w:bottom w:val="single" w:sz="12" w:space="0" w:color="auto"/>
              <w:right w:val="nil"/>
            </w:tcBorders>
            <w:shd w:val="clear" w:color="auto" w:fill="auto"/>
            <w:noWrap/>
            <w:hideMark/>
          </w:tcPr>
          <w:p w14:paraId="33C0AC22" w14:textId="77777777" w:rsidR="00706075" w:rsidRPr="00706075" w:rsidRDefault="00706075" w:rsidP="00706075">
            <w:pPr>
              <w:spacing w:after="0" w:line="240" w:lineRule="auto"/>
              <w:rPr>
                <w:rFonts w:ascii="Tahoma" w:eastAsia="Times New Roman" w:hAnsi="Tahoma" w:cs="Tahoma"/>
                <w:b/>
                <w:bCs/>
                <w:color w:val="000000"/>
              </w:rPr>
            </w:pPr>
            <w:r w:rsidRPr="00706075">
              <w:rPr>
                <w:rFonts w:ascii="Tahoma" w:eastAsia="Times New Roman" w:hAnsi="Tahoma" w:cs="Tahoma"/>
                <w:b/>
                <w:bCs/>
                <w:color w:val="000000"/>
              </w:rPr>
              <w:t>Dashboard classification</w:t>
            </w:r>
          </w:p>
        </w:tc>
        <w:tc>
          <w:tcPr>
            <w:tcW w:w="0" w:type="auto"/>
            <w:tcBorders>
              <w:top w:val="single" w:sz="12" w:space="0" w:color="auto"/>
              <w:left w:val="nil"/>
              <w:bottom w:val="single" w:sz="12" w:space="0" w:color="auto"/>
              <w:right w:val="nil"/>
            </w:tcBorders>
            <w:shd w:val="clear" w:color="auto" w:fill="auto"/>
            <w:noWrap/>
            <w:hideMark/>
          </w:tcPr>
          <w:p w14:paraId="01987490" w14:textId="77777777" w:rsidR="00706075" w:rsidRPr="00706075" w:rsidRDefault="00706075" w:rsidP="00706075">
            <w:pPr>
              <w:spacing w:after="0" w:line="240" w:lineRule="auto"/>
              <w:rPr>
                <w:rFonts w:ascii="Tahoma" w:eastAsia="Times New Roman" w:hAnsi="Tahoma" w:cs="Tahoma"/>
                <w:b/>
                <w:bCs/>
                <w:color w:val="000000"/>
              </w:rPr>
            </w:pPr>
            <w:r w:rsidRPr="00706075">
              <w:rPr>
                <w:rFonts w:ascii="Tahoma" w:eastAsia="Times New Roman" w:hAnsi="Tahoma" w:cs="Tahoma"/>
                <w:b/>
                <w:bCs/>
                <w:color w:val="000000"/>
              </w:rPr>
              <w:t>Race or ethnicity indicated on death certificate</w:t>
            </w:r>
          </w:p>
        </w:tc>
      </w:tr>
      <w:tr w:rsidR="00706075" w:rsidRPr="00706075" w14:paraId="6DDB4A47" w14:textId="77777777" w:rsidTr="00706075">
        <w:trPr>
          <w:trHeight w:val="300"/>
        </w:trPr>
        <w:tc>
          <w:tcPr>
            <w:tcW w:w="0" w:type="auto"/>
            <w:tcBorders>
              <w:top w:val="nil"/>
              <w:left w:val="nil"/>
              <w:bottom w:val="nil"/>
              <w:right w:val="nil"/>
            </w:tcBorders>
            <w:shd w:val="clear" w:color="000000" w:fill="F2F2F2"/>
            <w:noWrap/>
            <w:hideMark/>
          </w:tcPr>
          <w:p w14:paraId="68CD670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Hispanic</w:t>
            </w:r>
          </w:p>
        </w:tc>
        <w:tc>
          <w:tcPr>
            <w:tcW w:w="0" w:type="auto"/>
            <w:tcBorders>
              <w:top w:val="nil"/>
              <w:left w:val="nil"/>
              <w:bottom w:val="nil"/>
              <w:right w:val="nil"/>
            </w:tcBorders>
            <w:shd w:val="clear" w:color="000000" w:fill="F2F2F2"/>
            <w:noWrap/>
            <w:hideMark/>
          </w:tcPr>
          <w:p w14:paraId="2AF75742"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Hispanic ethnicity of any race</w:t>
            </w:r>
          </w:p>
        </w:tc>
      </w:tr>
      <w:tr w:rsidR="00706075" w:rsidRPr="00706075" w14:paraId="59477858" w14:textId="77777777" w:rsidTr="00706075">
        <w:trPr>
          <w:trHeight w:val="312"/>
        </w:trPr>
        <w:tc>
          <w:tcPr>
            <w:tcW w:w="0" w:type="auto"/>
            <w:tcBorders>
              <w:top w:val="nil"/>
              <w:left w:val="nil"/>
              <w:bottom w:val="nil"/>
              <w:right w:val="nil"/>
            </w:tcBorders>
            <w:shd w:val="clear" w:color="auto" w:fill="auto"/>
            <w:noWrap/>
            <w:hideMark/>
          </w:tcPr>
          <w:p w14:paraId="10BD74B1"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Non-Hispanic American Indian</w:t>
            </w:r>
          </w:p>
        </w:tc>
        <w:tc>
          <w:tcPr>
            <w:tcW w:w="0" w:type="auto"/>
            <w:tcBorders>
              <w:top w:val="nil"/>
              <w:left w:val="nil"/>
              <w:bottom w:val="nil"/>
              <w:right w:val="nil"/>
            </w:tcBorders>
            <w:shd w:val="clear" w:color="auto" w:fill="auto"/>
            <w:noWrap/>
            <w:hideMark/>
          </w:tcPr>
          <w:p w14:paraId="4F32572F"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American Indian only</w:t>
            </w:r>
          </w:p>
        </w:tc>
      </w:tr>
      <w:tr w:rsidR="00706075" w:rsidRPr="00706075" w14:paraId="0943E6B2" w14:textId="77777777" w:rsidTr="00706075">
        <w:trPr>
          <w:trHeight w:val="288"/>
        </w:trPr>
        <w:tc>
          <w:tcPr>
            <w:tcW w:w="0" w:type="auto"/>
            <w:tcBorders>
              <w:top w:val="nil"/>
              <w:left w:val="nil"/>
              <w:bottom w:val="nil"/>
              <w:right w:val="nil"/>
            </w:tcBorders>
            <w:shd w:val="clear" w:color="000000" w:fill="F2F2F2"/>
            <w:noWrap/>
            <w:hideMark/>
          </w:tcPr>
          <w:p w14:paraId="25E0B2BE"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Non-Hispanic Asian*</w:t>
            </w:r>
          </w:p>
        </w:tc>
        <w:tc>
          <w:tcPr>
            <w:tcW w:w="0" w:type="auto"/>
            <w:tcBorders>
              <w:top w:val="nil"/>
              <w:left w:val="nil"/>
              <w:bottom w:val="nil"/>
              <w:right w:val="nil"/>
            </w:tcBorders>
            <w:shd w:val="clear" w:color="000000" w:fill="F2F2F2"/>
            <w:noWrap/>
            <w:hideMark/>
          </w:tcPr>
          <w:p w14:paraId="3835F6A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Laotian, Hmong, Indian, Chinese, Filipino, Japanese, Korean, Vietnamese, or other Asian.</w:t>
            </w:r>
          </w:p>
        </w:tc>
      </w:tr>
      <w:tr w:rsidR="00706075" w:rsidRPr="00706075" w14:paraId="591ED67F" w14:textId="77777777" w:rsidTr="00706075">
        <w:trPr>
          <w:trHeight w:val="288"/>
        </w:trPr>
        <w:tc>
          <w:tcPr>
            <w:tcW w:w="0" w:type="auto"/>
            <w:tcBorders>
              <w:top w:val="nil"/>
              <w:left w:val="nil"/>
              <w:bottom w:val="nil"/>
              <w:right w:val="nil"/>
            </w:tcBorders>
            <w:shd w:val="clear" w:color="auto" w:fill="auto"/>
            <w:noWrap/>
            <w:hideMark/>
          </w:tcPr>
          <w:p w14:paraId="0CF5EA7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Non-Hispanic Pacific Islander*</w:t>
            </w:r>
          </w:p>
        </w:tc>
        <w:tc>
          <w:tcPr>
            <w:tcW w:w="0" w:type="auto"/>
            <w:tcBorders>
              <w:top w:val="nil"/>
              <w:left w:val="nil"/>
              <w:bottom w:val="nil"/>
              <w:right w:val="nil"/>
            </w:tcBorders>
            <w:shd w:val="clear" w:color="auto" w:fill="auto"/>
            <w:noWrap/>
            <w:hideMark/>
          </w:tcPr>
          <w:p w14:paraId="5130D31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 xml:space="preserve">Hawaiian, Guam, Samoan, or </w:t>
            </w:r>
            <w:proofErr w:type="gramStart"/>
            <w:r w:rsidRPr="00706075">
              <w:rPr>
                <w:rFonts w:ascii="Tahoma" w:eastAsia="Times New Roman" w:hAnsi="Tahoma" w:cs="Tahoma"/>
                <w:color w:val="000000"/>
              </w:rPr>
              <w:t>other</w:t>
            </w:r>
            <w:proofErr w:type="gramEnd"/>
            <w:r w:rsidRPr="00706075">
              <w:rPr>
                <w:rFonts w:ascii="Tahoma" w:eastAsia="Times New Roman" w:hAnsi="Tahoma" w:cs="Tahoma"/>
                <w:color w:val="000000"/>
              </w:rPr>
              <w:t xml:space="preserve"> Pacific Islander.</w:t>
            </w:r>
          </w:p>
        </w:tc>
      </w:tr>
      <w:tr w:rsidR="00706075" w:rsidRPr="00706075" w14:paraId="1CD10DEB" w14:textId="77777777" w:rsidTr="00706075">
        <w:trPr>
          <w:trHeight w:val="288"/>
        </w:trPr>
        <w:tc>
          <w:tcPr>
            <w:tcW w:w="0" w:type="auto"/>
            <w:tcBorders>
              <w:top w:val="nil"/>
              <w:left w:val="nil"/>
              <w:bottom w:val="nil"/>
              <w:right w:val="nil"/>
            </w:tcBorders>
            <w:shd w:val="clear" w:color="000000" w:fill="F2F2F2"/>
            <w:noWrap/>
            <w:hideMark/>
          </w:tcPr>
          <w:p w14:paraId="0F17A85F"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Non-Hispanic Black</w:t>
            </w:r>
          </w:p>
        </w:tc>
        <w:tc>
          <w:tcPr>
            <w:tcW w:w="0" w:type="auto"/>
            <w:tcBorders>
              <w:top w:val="nil"/>
              <w:left w:val="nil"/>
              <w:bottom w:val="nil"/>
              <w:right w:val="nil"/>
            </w:tcBorders>
            <w:shd w:val="clear" w:color="000000" w:fill="F2F2F2"/>
            <w:noWrap/>
            <w:hideMark/>
          </w:tcPr>
          <w:p w14:paraId="19A2FD03"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Black only</w:t>
            </w:r>
          </w:p>
        </w:tc>
      </w:tr>
      <w:tr w:rsidR="00706075" w:rsidRPr="00706075" w14:paraId="125FECF9" w14:textId="77777777" w:rsidTr="00706075">
        <w:trPr>
          <w:trHeight w:val="288"/>
        </w:trPr>
        <w:tc>
          <w:tcPr>
            <w:tcW w:w="0" w:type="auto"/>
            <w:tcBorders>
              <w:top w:val="nil"/>
              <w:left w:val="nil"/>
              <w:bottom w:val="nil"/>
              <w:right w:val="nil"/>
            </w:tcBorders>
            <w:shd w:val="clear" w:color="auto" w:fill="auto"/>
            <w:noWrap/>
            <w:hideMark/>
          </w:tcPr>
          <w:p w14:paraId="1B0FC232"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Non-Hispanic Multi-race**</w:t>
            </w:r>
          </w:p>
        </w:tc>
        <w:tc>
          <w:tcPr>
            <w:tcW w:w="0" w:type="auto"/>
            <w:tcBorders>
              <w:top w:val="nil"/>
              <w:left w:val="nil"/>
              <w:bottom w:val="nil"/>
              <w:right w:val="nil"/>
            </w:tcBorders>
            <w:shd w:val="clear" w:color="auto" w:fill="auto"/>
            <w:noWrap/>
            <w:hideMark/>
          </w:tcPr>
          <w:p w14:paraId="4699B920"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See note</w:t>
            </w:r>
          </w:p>
        </w:tc>
      </w:tr>
      <w:tr w:rsidR="00706075" w:rsidRPr="00706075" w14:paraId="676FDA01" w14:textId="77777777" w:rsidTr="00706075">
        <w:trPr>
          <w:trHeight w:val="288"/>
        </w:trPr>
        <w:tc>
          <w:tcPr>
            <w:tcW w:w="0" w:type="auto"/>
            <w:tcBorders>
              <w:top w:val="nil"/>
              <w:left w:val="nil"/>
              <w:bottom w:val="nil"/>
              <w:right w:val="nil"/>
            </w:tcBorders>
            <w:shd w:val="clear" w:color="000000" w:fill="F2F2F2"/>
            <w:noWrap/>
            <w:hideMark/>
          </w:tcPr>
          <w:p w14:paraId="0512D8F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Non-Hispanic White</w:t>
            </w:r>
          </w:p>
        </w:tc>
        <w:tc>
          <w:tcPr>
            <w:tcW w:w="0" w:type="auto"/>
            <w:tcBorders>
              <w:top w:val="nil"/>
              <w:left w:val="nil"/>
              <w:bottom w:val="nil"/>
              <w:right w:val="nil"/>
            </w:tcBorders>
            <w:shd w:val="clear" w:color="000000" w:fill="F2F2F2"/>
            <w:noWrap/>
            <w:hideMark/>
          </w:tcPr>
          <w:p w14:paraId="3F1A1A4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White only</w:t>
            </w:r>
          </w:p>
        </w:tc>
      </w:tr>
      <w:tr w:rsidR="00706075" w:rsidRPr="00706075" w14:paraId="6D887404" w14:textId="77777777" w:rsidTr="00706075">
        <w:trPr>
          <w:trHeight w:val="300"/>
        </w:trPr>
        <w:tc>
          <w:tcPr>
            <w:tcW w:w="0" w:type="auto"/>
            <w:tcBorders>
              <w:top w:val="nil"/>
              <w:left w:val="nil"/>
              <w:bottom w:val="single" w:sz="8" w:space="0" w:color="auto"/>
              <w:right w:val="nil"/>
            </w:tcBorders>
            <w:shd w:val="clear" w:color="auto" w:fill="auto"/>
            <w:noWrap/>
            <w:hideMark/>
          </w:tcPr>
          <w:p w14:paraId="490B56FE"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 xml:space="preserve">Non-Hispanic </w:t>
            </w:r>
            <w:proofErr w:type="gramStart"/>
            <w:r w:rsidRPr="00706075">
              <w:rPr>
                <w:rFonts w:ascii="Tahoma" w:eastAsia="Times New Roman" w:hAnsi="Tahoma" w:cs="Tahoma"/>
                <w:color w:val="000000"/>
              </w:rPr>
              <w:t>Other</w:t>
            </w:r>
            <w:proofErr w:type="gramEnd"/>
            <w:r w:rsidRPr="00706075">
              <w:rPr>
                <w:rFonts w:ascii="Tahoma" w:eastAsia="Times New Roman" w:hAnsi="Tahoma" w:cs="Tahoma"/>
                <w:color w:val="000000"/>
              </w:rPr>
              <w:t xml:space="preserve"> race***</w:t>
            </w:r>
          </w:p>
        </w:tc>
        <w:tc>
          <w:tcPr>
            <w:tcW w:w="0" w:type="auto"/>
            <w:tcBorders>
              <w:top w:val="nil"/>
              <w:left w:val="nil"/>
              <w:bottom w:val="single" w:sz="8" w:space="0" w:color="auto"/>
              <w:right w:val="nil"/>
            </w:tcBorders>
            <w:shd w:val="clear" w:color="auto" w:fill="auto"/>
            <w:noWrap/>
            <w:hideMark/>
          </w:tcPr>
          <w:p w14:paraId="53152710" w14:textId="77777777" w:rsidR="00706075" w:rsidRPr="00706075" w:rsidRDefault="00706075" w:rsidP="00706075">
            <w:pPr>
              <w:spacing w:after="0" w:line="240" w:lineRule="auto"/>
              <w:rPr>
                <w:rFonts w:ascii="Tahoma" w:eastAsia="Times New Roman" w:hAnsi="Tahoma" w:cs="Tahoma"/>
                <w:color w:val="000000"/>
              </w:rPr>
            </w:pPr>
            <w:proofErr w:type="gramStart"/>
            <w:r w:rsidRPr="00706075">
              <w:rPr>
                <w:rFonts w:ascii="Tahoma" w:eastAsia="Times New Roman" w:hAnsi="Tahoma" w:cs="Tahoma"/>
                <w:color w:val="000000"/>
              </w:rPr>
              <w:t>Other</w:t>
            </w:r>
            <w:proofErr w:type="gramEnd"/>
            <w:r w:rsidRPr="00706075">
              <w:rPr>
                <w:rFonts w:ascii="Tahoma" w:eastAsia="Times New Roman" w:hAnsi="Tahoma" w:cs="Tahoma"/>
                <w:color w:val="000000"/>
              </w:rPr>
              <w:t xml:space="preserve"> race only</w:t>
            </w:r>
          </w:p>
        </w:tc>
      </w:tr>
      <w:tr w:rsidR="00706075" w:rsidRPr="00706075" w14:paraId="3AA84967" w14:textId="77777777" w:rsidTr="00706075">
        <w:trPr>
          <w:trHeight w:val="396"/>
        </w:trPr>
        <w:tc>
          <w:tcPr>
            <w:tcW w:w="0" w:type="auto"/>
            <w:gridSpan w:val="2"/>
            <w:tcBorders>
              <w:top w:val="nil"/>
              <w:left w:val="nil"/>
              <w:bottom w:val="nil"/>
              <w:right w:val="nil"/>
            </w:tcBorders>
            <w:shd w:val="clear" w:color="000000" w:fill="F2F2F2"/>
            <w:noWrap/>
            <w:vAlign w:val="bottom"/>
            <w:hideMark/>
          </w:tcPr>
          <w:p w14:paraId="26D7AA2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 xml:space="preserve">*Asian and Pacific Islanders were combined in this publication due to small numbers. </w:t>
            </w:r>
          </w:p>
        </w:tc>
      </w:tr>
      <w:tr w:rsidR="00706075" w:rsidRPr="00706075" w14:paraId="6ACC250D" w14:textId="77777777" w:rsidTr="00706075">
        <w:trPr>
          <w:trHeight w:val="1176"/>
        </w:trPr>
        <w:tc>
          <w:tcPr>
            <w:tcW w:w="0" w:type="auto"/>
            <w:gridSpan w:val="2"/>
            <w:tcBorders>
              <w:top w:val="nil"/>
              <w:left w:val="nil"/>
              <w:bottom w:val="nil"/>
              <w:right w:val="nil"/>
            </w:tcBorders>
            <w:shd w:val="clear" w:color="auto" w:fill="auto"/>
            <w:hideMark/>
          </w:tcPr>
          <w:p w14:paraId="6514D214"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 xml:space="preserve">** A decedent was classified as </w:t>
            </w:r>
            <w:proofErr w:type="gramStart"/>
            <w:r w:rsidRPr="00706075">
              <w:rPr>
                <w:rFonts w:ascii="Tahoma" w:eastAsia="Times New Roman" w:hAnsi="Tahoma" w:cs="Tahoma"/>
                <w:color w:val="000000"/>
              </w:rPr>
              <w:t>Multi-race</w:t>
            </w:r>
            <w:proofErr w:type="gramEnd"/>
            <w:r w:rsidRPr="00706075">
              <w:rPr>
                <w:rFonts w:ascii="Tahoma" w:eastAsia="Times New Roman" w:hAnsi="Tahoma" w:cs="Tahoma"/>
                <w:color w:val="000000"/>
              </w:rPr>
              <w:t xml:space="preserve"> if there were more than two races identified on their death certificate. For </w:t>
            </w:r>
            <w:proofErr w:type="gramStart"/>
            <w:r w:rsidRPr="00706075">
              <w:rPr>
                <w:rFonts w:ascii="Tahoma" w:eastAsia="Times New Roman" w:hAnsi="Tahoma" w:cs="Tahoma"/>
                <w:color w:val="000000"/>
              </w:rPr>
              <w:t>example</w:t>
            </w:r>
            <w:proofErr w:type="gramEnd"/>
            <w:r w:rsidRPr="00706075">
              <w:rPr>
                <w:rFonts w:ascii="Tahoma" w:eastAsia="Times New Roman" w:hAnsi="Tahoma" w:cs="Tahoma"/>
                <w:color w:val="000000"/>
              </w:rPr>
              <w:t xml:space="preserve"> if Non-Hispanic, White and Black were selected then the descendent would be categorized as Non-Hispanic Multi-race. Similarly, if Non-Hispanic, Chinese and Hawaiian were selected the </w:t>
            </w:r>
            <w:proofErr w:type="spellStart"/>
            <w:r w:rsidRPr="00706075">
              <w:rPr>
                <w:rFonts w:ascii="Tahoma" w:eastAsia="Times New Roman" w:hAnsi="Tahoma" w:cs="Tahoma"/>
                <w:color w:val="000000"/>
              </w:rPr>
              <w:t>decendent</w:t>
            </w:r>
            <w:proofErr w:type="spellEnd"/>
            <w:r w:rsidRPr="00706075">
              <w:rPr>
                <w:rFonts w:ascii="Tahoma" w:eastAsia="Times New Roman" w:hAnsi="Tahoma" w:cs="Tahoma"/>
                <w:color w:val="000000"/>
              </w:rPr>
              <w:t xml:space="preserve"> would be Non-Hispanic Multi-Race. However, if Non-Hispanic, Chinese and Vietnamese were selected, the decedent would be categorized as Non-Hispanic Asian.</w:t>
            </w:r>
          </w:p>
        </w:tc>
      </w:tr>
      <w:tr w:rsidR="00706075" w:rsidRPr="00706075" w14:paraId="5152CD3B" w14:textId="77777777" w:rsidTr="00706075">
        <w:trPr>
          <w:trHeight w:val="924"/>
        </w:trPr>
        <w:tc>
          <w:tcPr>
            <w:tcW w:w="0" w:type="auto"/>
            <w:gridSpan w:val="2"/>
            <w:tcBorders>
              <w:top w:val="nil"/>
              <w:left w:val="nil"/>
              <w:bottom w:val="single" w:sz="8" w:space="0" w:color="auto"/>
              <w:right w:val="nil"/>
            </w:tcBorders>
            <w:shd w:val="clear" w:color="000000" w:fill="F2F2F2"/>
            <w:hideMark/>
          </w:tcPr>
          <w:p w14:paraId="34B6511E" w14:textId="4305204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 xml:space="preserve">***In the U.S. census there is no "Other race" to use as a denominator for rate </w:t>
            </w:r>
            <w:proofErr w:type="gramStart"/>
            <w:r w:rsidRPr="00706075">
              <w:rPr>
                <w:rFonts w:ascii="Tahoma" w:eastAsia="Times New Roman" w:hAnsi="Tahoma" w:cs="Tahoma"/>
                <w:color w:val="000000"/>
              </w:rPr>
              <w:t>calculations</w:t>
            </w:r>
            <w:proofErr w:type="gramEnd"/>
            <w:r w:rsidRPr="00706075">
              <w:rPr>
                <w:rFonts w:ascii="Tahoma" w:eastAsia="Times New Roman" w:hAnsi="Tahoma" w:cs="Tahoma"/>
                <w:color w:val="000000"/>
              </w:rPr>
              <w:t xml:space="preserve"> so these counts were excluded from dashboards. </w:t>
            </w:r>
          </w:p>
        </w:tc>
      </w:tr>
    </w:tbl>
    <w:p w14:paraId="2440D94F" w14:textId="77777777" w:rsidR="00706075" w:rsidRPr="00903B92" w:rsidRDefault="00706075" w:rsidP="00DD7DE8">
      <w:pPr>
        <w:pStyle w:val="NoSpacing"/>
        <w:rPr>
          <w:rFonts w:ascii="Tahoma" w:hAnsi="Tahoma" w:cs="Tahoma"/>
        </w:rPr>
      </w:pPr>
    </w:p>
    <w:p w14:paraId="59FFE053" w14:textId="77777777" w:rsidR="00706075" w:rsidRPr="00903B92" w:rsidRDefault="00706075" w:rsidP="00DD7DE8">
      <w:pPr>
        <w:pStyle w:val="NoSpacing"/>
        <w:rPr>
          <w:rFonts w:ascii="Tahoma" w:hAnsi="Tahoma" w:cs="Tahoma"/>
        </w:rPr>
      </w:pPr>
    </w:p>
    <w:p w14:paraId="290C156B" w14:textId="77777777" w:rsidR="00BF5FA6" w:rsidRPr="00903B92" w:rsidRDefault="00BF5FA6" w:rsidP="00DD7DE8">
      <w:pPr>
        <w:pStyle w:val="NoSpacing"/>
        <w:rPr>
          <w:rFonts w:ascii="Tahoma" w:hAnsi="Tahoma" w:cs="Tahoma"/>
          <w:b/>
          <w:bCs/>
          <w:sz w:val="24"/>
          <w:szCs w:val="24"/>
          <w:u w:val="single"/>
        </w:rPr>
      </w:pPr>
    </w:p>
    <w:p w14:paraId="4EF10C9A" w14:textId="67611B35" w:rsidR="002539E9" w:rsidRPr="00903B92" w:rsidRDefault="002539E9" w:rsidP="002E5B05">
      <w:pPr>
        <w:pStyle w:val="Heading2"/>
        <w:rPr>
          <w:rFonts w:ascii="Tahoma" w:hAnsi="Tahoma" w:cs="Tahoma"/>
        </w:rPr>
      </w:pPr>
      <w:r w:rsidRPr="00903B92">
        <w:rPr>
          <w:rFonts w:ascii="Tahoma" w:hAnsi="Tahoma" w:cs="Tahoma"/>
        </w:rPr>
        <w:t xml:space="preserve">Age </w:t>
      </w:r>
      <w:r w:rsidR="00DF0F87" w:rsidRPr="00903B92">
        <w:rPr>
          <w:rFonts w:ascii="Tahoma" w:hAnsi="Tahoma" w:cs="Tahoma"/>
        </w:rPr>
        <w:t>g</w:t>
      </w:r>
      <w:r w:rsidRPr="00903B92">
        <w:rPr>
          <w:rFonts w:ascii="Tahoma" w:hAnsi="Tahoma" w:cs="Tahoma"/>
        </w:rPr>
        <w:t>roups</w:t>
      </w:r>
    </w:p>
    <w:p w14:paraId="4B731379" w14:textId="7EBD4B67" w:rsidR="001B4C99" w:rsidRPr="00903B92" w:rsidRDefault="00BA189C" w:rsidP="00103E31">
      <w:pPr>
        <w:pStyle w:val="NoSpacing"/>
        <w:rPr>
          <w:rFonts w:ascii="Tahoma" w:hAnsi="Tahoma" w:cs="Tahoma"/>
        </w:rPr>
      </w:pPr>
      <w:r w:rsidRPr="00903B92">
        <w:rPr>
          <w:rFonts w:ascii="Tahoma" w:hAnsi="Tahoma" w:cs="Tahoma"/>
        </w:rPr>
        <w:t xml:space="preserve">Included mortality statistics are for </w:t>
      </w:r>
      <w:r w:rsidR="00250F78" w:rsidRPr="00903B92">
        <w:rPr>
          <w:rFonts w:ascii="Tahoma" w:hAnsi="Tahoma" w:cs="Tahoma"/>
        </w:rPr>
        <w:t>Wisconsin residents</w:t>
      </w:r>
      <w:r w:rsidRPr="00903B92">
        <w:rPr>
          <w:rFonts w:ascii="Tahoma" w:hAnsi="Tahoma" w:cs="Tahoma"/>
        </w:rPr>
        <w:t xml:space="preserve"> aged </w:t>
      </w:r>
      <w:r w:rsidR="009E51D7" w:rsidRPr="00903B92">
        <w:rPr>
          <w:rFonts w:ascii="Tahoma" w:hAnsi="Tahoma" w:cs="Tahoma"/>
        </w:rPr>
        <w:t>one</w:t>
      </w:r>
      <w:r w:rsidRPr="00903B92">
        <w:rPr>
          <w:rFonts w:ascii="Tahoma" w:hAnsi="Tahoma" w:cs="Tahoma"/>
        </w:rPr>
        <w:t xml:space="preserve"> or older. Detailed mortality information for infants under </w:t>
      </w:r>
      <w:r w:rsidR="009E51D7" w:rsidRPr="00903B92">
        <w:rPr>
          <w:rFonts w:ascii="Tahoma" w:hAnsi="Tahoma" w:cs="Tahoma"/>
        </w:rPr>
        <w:t>one</w:t>
      </w:r>
      <w:r w:rsidRPr="00903B92">
        <w:rPr>
          <w:rFonts w:ascii="Tahoma" w:hAnsi="Tahoma" w:cs="Tahoma"/>
        </w:rPr>
        <w:t xml:space="preserve"> year old can be found separately in </w:t>
      </w:r>
      <w:r w:rsidR="006970AF" w:rsidRPr="00903B92">
        <w:rPr>
          <w:rFonts w:ascii="Tahoma" w:hAnsi="Tahoma" w:cs="Tahoma"/>
        </w:rPr>
        <w:t xml:space="preserve">the </w:t>
      </w:r>
      <w:hyperlink r:id="rId11" w:history="1">
        <w:r w:rsidR="006970AF" w:rsidRPr="00903B92">
          <w:rPr>
            <w:rStyle w:val="Hyperlink"/>
            <w:rFonts w:ascii="Tahoma" w:hAnsi="Tahoma" w:cs="Tahoma"/>
          </w:rPr>
          <w:t>I</w:t>
        </w:r>
        <w:r w:rsidRPr="00903B92">
          <w:rPr>
            <w:rStyle w:val="Hyperlink"/>
            <w:rFonts w:ascii="Tahoma" w:hAnsi="Tahoma" w:cs="Tahoma"/>
          </w:rPr>
          <w:t xml:space="preserve">nfant </w:t>
        </w:r>
        <w:r w:rsidR="006970AF" w:rsidRPr="00903B92">
          <w:rPr>
            <w:rStyle w:val="Hyperlink"/>
            <w:rFonts w:ascii="Tahoma" w:hAnsi="Tahoma" w:cs="Tahoma"/>
          </w:rPr>
          <w:t>M</w:t>
        </w:r>
        <w:r w:rsidRPr="00903B92">
          <w:rPr>
            <w:rStyle w:val="Hyperlink"/>
            <w:rFonts w:ascii="Tahoma" w:hAnsi="Tahoma" w:cs="Tahoma"/>
          </w:rPr>
          <w:t>ortality dashboard.</w:t>
        </w:r>
      </w:hyperlink>
    </w:p>
    <w:p w14:paraId="35930F2B" w14:textId="77777777" w:rsidR="00BF5FA6" w:rsidRPr="00903B92" w:rsidRDefault="00BF5FA6" w:rsidP="00103E31">
      <w:pPr>
        <w:pStyle w:val="NoSpacing"/>
        <w:rPr>
          <w:rFonts w:ascii="Tahoma" w:hAnsi="Tahoma" w:cs="Tahoma"/>
        </w:rPr>
      </w:pPr>
    </w:p>
    <w:p w14:paraId="6EDE2E08" w14:textId="77777777" w:rsidR="000758FF" w:rsidRPr="00903B92" w:rsidRDefault="000758FF" w:rsidP="002E5B05">
      <w:pPr>
        <w:pStyle w:val="Heading2"/>
        <w:rPr>
          <w:rFonts w:ascii="Tahoma" w:hAnsi="Tahoma" w:cs="Tahoma"/>
        </w:rPr>
      </w:pPr>
      <w:r w:rsidRPr="00903B92">
        <w:rPr>
          <w:rFonts w:ascii="Tahoma" w:hAnsi="Tahoma" w:cs="Tahoma"/>
        </w:rPr>
        <w:t>Geography</w:t>
      </w:r>
    </w:p>
    <w:p w14:paraId="76CFBEAF" w14:textId="4064CFFC" w:rsidR="00103E31" w:rsidRPr="00903B92" w:rsidRDefault="00250F78" w:rsidP="00A45B0F">
      <w:pPr>
        <w:pBdr>
          <w:bottom w:val="single" w:sz="12" w:space="0" w:color="auto"/>
        </w:pBdr>
        <w:spacing w:after="0"/>
        <w:rPr>
          <w:rFonts w:ascii="Tahoma" w:hAnsi="Tahoma" w:cs="Tahoma"/>
          <w:sz w:val="24"/>
          <w:szCs w:val="24"/>
        </w:rPr>
      </w:pPr>
      <w:r w:rsidRPr="00903B92">
        <w:rPr>
          <w:rFonts w:ascii="Tahoma" w:hAnsi="Tahoma" w:cs="Tahoma"/>
          <w:sz w:val="24"/>
          <w:szCs w:val="24"/>
        </w:rPr>
        <w:t>Data was aggregated by residing county to generate mortality counts and rates for the 72 counties in Wisconsin</w:t>
      </w:r>
      <w:r w:rsidR="00BF5FA6" w:rsidRPr="00903B92">
        <w:rPr>
          <w:rFonts w:ascii="Tahoma" w:hAnsi="Tahoma" w:cs="Tahoma"/>
          <w:sz w:val="24"/>
          <w:szCs w:val="24"/>
        </w:rPr>
        <w:t xml:space="preserve">. </w:t>
      </w:r>
      <w:r w:rsidR="00FA2487" w:rsidRPr="00903B92">
        <w:rPr>
          <w:rFonts w:ascii="Tahoma" w:hAnsi="Tahoma" w:cs="Tahoma"/>
          <w:sz w:val="24"/>
          <w:szCs w:val="24"/>
        </w:rPr>
        <w:t>A map of DHS regions can be found in the appendix.</w:t>
      </w:r>
    </w:p>
    <w:p w14:paraId="128171E6" w14:textId="77777777" w:rsidR="00BF5FA6" w:rsidRPr="00903B92" w:rsidRDefault="00BF5FA6" w:rsidP="00A45B0F">
      <w:pPr>
        <w:pBdr>
          <w:bottom w:val="single" w:sz="12" w:space="0" w:color="auto"/>
        </w:pBdr>
        <w:spacing w:after="0"/>
        <w:rPr>
          <w:rFonts w:ascii="Tahoma" w:hAnsi="Tahoma" w:cs="Tahoma"/>
          <w:sz w:val="24"/>
          <w:szCs w:val="24"/>
        </w:rPr>
      </w:pPr>
    </w:p>
    <w:p w14:paraId="717F13B2" w14:textId="3323931E" w:rsidR="00103E31" w:rsidRPr="00903B92" w:rsidRDefault="00103E31" w:rsidP="002E5B05">
      <w:pPr>
        <w:pStyle w:val="Heading1"/>
        <w:rPr>
          <w:rFonts w:ascii="Tahoma" w:hAnsi="Tahoma" w:cs="Tahoma"/>
        </w:rPr>
      </w:pPr>
      <w:r w:rsidRPr="00903B92">
        <w:rPr>
          <w:rFonts w:ascii="Tahoma" w:hAnsi="Tahoma" w:cs="Tahoma"/>
        </w:rPr>
        <w:t>Calculations</w:t>
      </w:r>
    </w:p>
    <w:p w14:paraId="6FA96040" w14:textId="6F2E5312" w:rsidR="00103E31" w:rsidRPr="00903B92" w:rsidRDefault="00103E31" w:rsidP="00103E31">
      <w:pPr>
        <w:pStyle w:val="NoSpacing"/>
        <w:rPr>
          <w:rFonts w:ascii="Tahoma" w:hAnsi="Tahoma" w:cs="Tahoma"/>
        </w:rPr>
      </w:pPr>
    </w:p>
    <w:p w14:paraId="0F8A2F51" w14:textId="135DA5C9" w:rsidR="00933AA0" w:rsidRPr="00903B92" w:rsidRDefault="00933AA0" w:rsidP="002E5B05">
      <w:pPr>
        <w:pStyle w:val="Heading2"/>
        <w:rPr>
          <w:rFonts w:ascii="Tahoma" w:hAnsi="Tahoma" w:cs="Tahoma"/>
        </w:rPr>
      </w:pPr>
      <w:r w:rsidRPr="00903B92">
        <w:rPr>
          <w:rFonts w:ascii="Tahoma" w:hAnsi="Tahoma" w:cs="Tahoma"/>
        </w:rPr>
        <w:lastRenderedPageBreak/>
        <w:t xml:space="preserve">Crude </w:t>
      </w:r>
      <w:r w:rsidR="00AE29BA" w:rsidRPr="00903B92">
        <w:rPr>
          <w:rFonts w:ascii="Tahoma" w:hAnsi="Tahoma" w:cs="Tahoma"/>
        </w:rPr>
        <w:t>m</w:t>
      </w:r>
      <w:r w:rsidRPr="00903B92">
        <w:rPr>
          <w:rFonts w:ascii="Tahoma" w:hAnsi="Tahoma" w:cs="Tahoma"/>
        </w:rPr>
        <w:t xml:space="preserve">ortality </w:t>
      </w:r>
      <w:r w:rsidR="00AE29BA" w:rsidRPr="00903B92">
        <w:rPr>
          <w:rFonts w:ascii="Tahoma" w:hAnsi="Tahoma" w:cs="Tahoma"/>
        </w:rPr>
        <w:t>r</w:t>
      </w:r>
      <w:r w:rsidRPr="00903B92">
        <w:rPr>
          <w:rFonts w:ascii="Tahoma" w:hAnsi="Tahoma" w:cs="Tahoma"/>
        </w:rPr>
        <w:t>ate</w:t>
      </w:r>
    </w:p>
    <w:p w14:paraId="6F97CD25" w14:textId="6647EC31" w:rsidR="00933AA0" w:rsidRPr="00903B92" w:rsidRDefault="00933AA0" w:rsidP="00103E31">
      <w:pPr>
        <w:pStyle w:val="NoSpacing"/>
        <w:rPr>
          <w:rFonts w:ascii="Tahoma" w:hAnsi="Tahoma" w:cs="Tahoma"/>
        </w:rPr>
      </w:pPr>
      <w:r w:rsidRPr="00903B92">
        <w:rPr>
          <w:rFonts w:ascii="Tahoma" w:hAnsi="Tahoma" w:cs="Tahoma"/>
        </w:rPr>
        <w:t xml:space="preserve">Crude mortality rates are </w:t>
      </w:r>
      <w:r w:rsidR="006B60C8" w:rsidRPr="00903B92">
        <w:rPr>
          <w:rFonts w:ascii="Tahoma" w:hAnsi="Tahoma" w:cs="Tahoma"/>
        </w:rPr>
        <w:t>the simplest rate used to understand mortality in one geographic area. They can b</w:t>
      </w:r>
      <w:r w:rsidR="00694DBB" w:rsidRPr="00903B92">
        <w:rPr>
          <w:rFonts w:ascii="Tahoma" w:hAnsi="Tahoma" w:cs="Tahoma"/>
        </w:rPr>
        <w:t xml:space="preserve">e </w:t>
      </w:r>
      <w:r w:rsidR="006B60C8" w:rsidRPr="00903B92">
        <w:rPr>
          <w:rFonts w:ascii="Tahoma" w:hAnsi="Tahoma" w:cs="Tahoma"/>
        </w:rPr>
        <w:t xml:space="preserve">calculated for an entire geographical area, for example the state of Wisconsin, or for subgroups within an area, </w:t>
      </w:r>
      <w:r w:rsidR="00096778" w:rsidRPr="00903B92">
        <w:rPr>
          <w:rFonts w:ascii="Tahoma" w:hAnsi="Tahoma" w:cs="Tahoma"/>
        </w:rPr>
        <w:t xml:space="preserve">such as </w:t>
      </w:r>
      <w:r w:rsidR="006B60C8" w:rsidRPr="00903B92">
        <w:rPr>
          <w:rFonts w:ascii="Tahoma" w:hAnsi="Tahoma" w:cs="Tahoma"/>
        </w:rPr>
        <w:t>20</w:t>
      </w:r>
      <w:r w:rsidR="00096778" w:rsidRPr="00903B92">
        <w:rPr>
          <w:rFonts w:ascii="Tahoma" w:hAnsi="Tahoma" w:cs="Tahoma"/>
        </w:rPr>
        <w:t>–</w:t>
      </w:r>
      <w:proofErr w:type="gramStart"/>
      <w:r w:rsidR="006B60C8" w:rsidRPr="00903B92">
        <w:rPr>
          <w:rFonts w:ascii="Tahoma" w:hAnsi="Tahoma" w:cs="Tahoma"/>
        </w:rPr>
        <w:t>24</w:t>
      </w:r>
      <w:r w:rsidR="009E51D7" w:rsidRPr="00903B92">
        <w:rPr>
          <w:rFonts w:ascii="Tahoma" w:hAnsi="Tahoma" w:cs="Tahoma"/>
        </w:rPr>
        <w:t xml:space="preserve"> </w:t>
      </w:r>
      <w:r w:rsidR="006B60C8" w:rsidRPr="00903B92">
        <w:rPr>
          <w:rFonts w:ascii="Tahoma" w:hAnsi="Tahoma" w:cs="Tahoma"/>
        </w:rPr>
        <w:t>year-olds</w:t>
      </w:r>
      <w:proofErr w:type="gramEnd"/>
      <w:r w:rsidR="006B60C8" w:rsidRPr="00903B92">
        <w:rPr>
          <w:rFonts w:ascii="Tahoma" w:hAnsi="Tahoma" w:cs="Tahoma"/>
        </w:rPr>
        <w:t xml:space="preserve"> in the state of Wisconsin. The latter would be an example of an age-specific mortality rate. </w:t>
      </w:r>
    </w:p>
    <w:p w14:paraId="570CE5DD" w14:textId="77777777" w:rsidR="006B60C8" w:rsidRPr="00903B92" w:rsidRDefault="006B60C8" w:rsidP="00103E31">
      <w:pPr>
        <w:pStyle w:val="NoSpacing"/>
        <w:rPr>
          <w:rFonts w:ascii="Tahoma" w:hAnsi="Tahoma" w:cs="Tahoma"/>
        </w:rPr>
      </w:pPr>
    </w:p>
    <w:p w14:paraId="2253385A" w14:textId="1DDA60CD" w:rsidR="00112E69" w:rsidRPr="00903B92" w:rsidRDefault="00112E69" w:rsidP="00112E69">
      <w:pPr>
        <w:pStyle w:val="NoSpacing"/>
        <w:rPr>
          <w:rFonts w:ascii="Tahoma" w:hAnsi="Tahoma" w:cs="Tahoma"/>
          <w:i/>
          <w:iCs/>
          <w:sz w:val="20"/>
          <w:szCs w:val="20"/>
        </w:rPr>
      </w:pPr>
      <m:oMathPara>
        <m:oMath>
          <m:r>
            <w:rPr>
              <w:rFonts w:ascii="Cambria Math" w:hAnsi="Cambria Math" w:cs="Tahoma"/>
              <w:sz w:val="24"/>
              <w:szCs w:val="24"/>
            </w:rPr>
            <m:t>Crude mortality rate</m:t>
          </m:r>
          <m:r>
            <m:rPr>
              <m:sty m:val="bi"/>
            </m:rPr>
            <w:rPr>
              <w:rFonts w:ascii="Cambria Math" w:hAnsi="Cambria Math" w:cs="Tahoma"/>
              <w:sz w:val="24"/>
              <w:szCs w:val="24"/>
            </w:rPr>
            <m:t>=</m:t>
          </m:r>
          <m:d>
            <m:dPr>
              <m:ctrlPr>
                <w:rPr>
                  <w:rFonts w:ascii="Cambria Math" w:hAnsi="Cambria Math" w:cs="Tahoma"/>
                  <w:b/>
                  <w:i/>
                  <w:sz w:val="24"/>
                  <w:szCs w:val="24"/>
                </w:rPr>
              </m:ctrlPr>
            </m:dPr>
            <m:e>
              <m:f>
                <m:fPr>
                  <m:ctrlPr>
                    <w:rPr>
                      <w:rFonts w:ascii="Cambria Math" w:hAnsi="Cambria Math" w:cs="Tahoma"/>
                      <w:i/>
                    </w:rPr>
                  </m:ctrlPr>
                </m:fPr>
                <m:num>
                  <m:r>
                    <w:rPr>
                      <w:rFonts w:ascii="Cambria Math" w:hAnsi="Cambria Math" w:cs="Tahoma"/>
                    </w:rPr>
                    <m:t>Number of deaths in a year</m:t>
                  </m:r>
                </m:num>
                <m:den>
                  <m:r>
                    <w:rPr>
                      <w:rFonts w:ascii="Cambria Math" w:hAnsi="Cambria Math" w:cs="Tahoma"/>
                    </w:rPr>
                    <m:t>Total population at mid-year</m:t>
                  </m:r>
                </m:den>
              </m:f>
            </m:e>
          </m:d>
          <m:r>
            <w:rPr>
              <w:rFonts w:ascii="Cambria Math" w:hAnsi="Cambria Math" w:cs="Tahoma"/>
            </w:rPr>
            <m:t>× 100,000</m:t>
          </m:r>
        </m:oMath>
      </m:oMathPara>
    </w:p>
    <w:p w14:paraId="6DA59FD9" w14:textId="77777777" w:rsidR="00112E69" w:rsidRPr="00903B92" w:rsidRDefault="00112E69" w:rsidP="00112E69">
      <w:pPr>
        <w:spacing w:after="0"/>
        <w:rPr>
          <w:rFonts w:ascii="Tahoma" w:hAnsi="Tahoma" w:cs="Tahoma"/>
          <w:b/>
          <w:bCs/>
          <w:sz w:val="28"/>
          <w:szCs w:val="28"/>
        </w:rPr>
      </w:pPr>
    </w:p>
    <w:p w14:paraId="3613A905" w14:textId="0AADC838" w:rsidR="00112E69" w:rsidRPr="00903B92" w:rsidRDefault="00112E69" w:rsidP="002E5B05">
      <w:pPr>
        <w:pStyle w:val="Heading2"/>
        <w:rPr>
          <w:rFonts w:ascii="Tahoma" w:hAnsi="Tahoma" w:cs="Tahoma"/>
        </w:rPr>
      </w:pPr>
      <w:r w:rsidRPr="00903B92">
        <w:rPr>
          <w:rFonts w:ascii="Tahoma" w:hAnsi="Tahoma" w:cs="Tahoma"/>
        </w:rPr>
        <w:t>Age</w:t>
      </w:r>
      <w:r w:rsidR="00096778" w:rsidRPr="00903B92">
        <w:rPr>
          <w:rFonts w:ascii="Tahoma" w:hAnsi="Tahoma" w:cs="Tahoma"/>
        </w:rPr>
        <w:t>-</w:t>
      </w:r>
      <w:r w:rsidRPr="00903B92">
        <w:rPr>
          <w:rFonts w:ascii="Tahoma" w:hAnsi="Tahoma" w:cs="Tahoma"/>
        </w:rPr>
        <w:t>adjusted mortality rate</w:t>
      </w:r>
    </w:p>
    <w:p w14:paraId="49C77ECF" w14:textId="18C55B6F" w:rsidR="00933AA0" w:rsidRPr="00903B92" w:rsidRDefault="00112E69" w:rsidP="007A6860">
      <w:pPr>
        <w:pStyle w:val="NoSpacing"/>
        <w:rPr>
          <w:rFonts w:ascii="Tahoma" w:hAnsi="Tahoma" w:cs="Tahoma"/>
        </w:rPr>
      </w:pPr>
      <w:r w:rsidRPr="00903B92">
        <w:rPr>
          <w:rFonts w:ascii="Tahoma" w:hAnsi="Tahoma" w:cs="Tahoma"/>
        </w:rPr>
        <w:t>Consistent with standard methods, all rates calculated were age-adjusted using the 2000 U.S. census population as a reference. Age-adjustment allows for meaningful comparison between years or between groups that have different age distributions.</w:t>
      </w:r>
      <w:r w:rsidR="007A6860" w:rsidRPr="00903B92">
        <w:rPr>
          <w:rFonts w:ascii="Tahoma" w:hAnsi="Tahoma" w:cs="Tahoma"/>
        </w:rPr>
        <w:t xml:space="preserve"> The standard population weights can be found in</w:t>
      </w:r>
      <w:r w:rsidR="00FA2487" w:rsidRPr="00903B92">
        <w:rPr>
          <w:rFonts w:ascii="Tahoma" w:hAnsi="Tahoma" w:cs="Tahoma"/>
        </w:rPr>
        <w:t xml:space="preserve"> the appendix (</w:t>
      </w:r>
      <w:r w:rsidR="007A6860" w:rsidRPr="00903B92">
        <w:rPr>
          <w:rFonts w:ascii="Tahoma" w:hAnsi="Tahoma" w:cs="Tahoma"/>
        </w:rPr>
        <w:t xml:space="preserve">Table </w:t>
      </w:r>
      <w:r w:rsidR="00BF5FA6" w:rsidRPr="00903B92">
        <w:rPr>
          <w:rFonts w:ascii="Tahoma" w:hAnsi="Tahoma" w:cs="Tahoma"/>
        </w:rPr>
        <w:t>4</w:t>
      </w:r>
      <w:r w:rsidR="00FA2487" w:rsidRPr="00903B92">
        <w:rPr>
          <w:rFonts w:ascii="Tahoma" w:hAnsi="Tahoma" w:cs="Tahoma"/>
        </w:rPr>
        <w:t>)</w:t>
      </w:r>
      <w:r w:rsidR="007A6860" w:rsidRPr="00903B92">
        <w:rPr>
          <w:rFonts w:ascii="Tahoma" w:hAnsi="Tahoma" w:cs="Tahoma"/>
        </w:rPr>
        <w:t>.</w:t>
      </w:r>
    </w:p>
    <w:p w14:paraId="364FDAF0" w14:textId="63BE8832" w:rsidR="00933AA0" w:rsidRPr="00903B92" w:rsidRDefault="00933AA0" w:rsidP="007A6860">
      <w:pPr>
        <w:pStyle w:val="NoSpacing"/>
        <w:rPr>
          <w:rFonts w:ascii="Tahoma" w:hAnsi="Tahoma" w:cs="Tahoma"/>
        </w:rPr>
      </w:pPr>
      <m:oMathPara>
        <m:oMath>
          <m:r>
            <w:rPr>
              <w:rFonts w:ascii="Cambria Math" w:hAnsi="Cambria Math" w:cs="Tahoma"/>
              <w:sz w:val="24"/>
              <w:szCs w:val="24"/>
            </w:rPr>
            <m:t>Age</m:t>
          </m:r>
          <m:r>
            <w:rPr>
              <w:rFonts w:ascii="Cambria Math" w:hAnsi="Cambria Math" w:cs="Tahoma"/>
            </w:rPr>
            <m:t xml:space="preserve"> </m:t>
          </m:r>
          <m:r>
            <w:rPr>
              <w:rFonts w:ascii="Cambria Math" w:hAnsi="Cambria Math" w:cs="Tahoma"/>
              <w:sz w:val="24"/>
              <w:szCs w:val="24"/>
            </w:rPr>
            <m:t>adjusted mortality rate</m:t>
          </m:r>
          <m:r>
            <m:rPr>
              <m:sty m:val="bi"/>
            </m:rPr>
            <w:rPr>
              <w:rFonts w:ascii="Cambria Math" w:hAnsi="Cambria Math" w:cs="Tahoma"/>
              <w:sz w:val="24"/>
              <w:szCs w:val="24"/>
            </w:rPr>
            <m:t xml:space="preserve">= </m:t>
          </m:r>
          <m:nary>
            <m:naryPr>
              <m:chr m:val="∑"/>
              <m:limLoc m:val="undOvr"/>
              <m:subHide m:val="1"/>
              <m:supHide m:val="1"/>
              <m:ctrlPr>
                <w:rPr>
                  <w:rFonts w:ascii="Cambria Math" w:hAnsi="Cambria Math" w:cs="Tahoma"/>
                  <w:bCs/>
                  <w:i/>
                  <w:sz w:val="24"/>
                  <w:szCs w:val="24"/>
                </w:rPr>
              </m:ctrlPr>
            </m:naryPr>
            <m:sub/>
            <m:sup/>
            <m:e>
              <m:d>
                <m:dPr>
                  <m:ctrlPr>
                    <w:rPr>
                      <w:rFonts w:ascii="Cambria Math" w:hAnsi="Cambria Math" w:cs="Tahoma"/>
                      <w:bCs/>
                      <w:i/>
                      <w:sz w:val="24"/>
                      <w:szCs w:val="24"/>
                    </w:rPr>
                  </m:ctrlPr>
                </m:dPr>
                <m:e>
                  <m:r>
                    <w:rPr>
                      <w:rFonts w:ascii="Cambria Math" w:hAnsi="Cambria Math" w:cs="Tahoma"/>
                      <w:sz w:val="24"/>
                      <w:szCs w:val="24"/>
                    </w:rPr>
                    <m:t>Age</m:t>
                  </m:r>
                  <m:r>
                    <w:rPr>
                      <w:rFonts w:ascii="Cambria Math" w:hAnsi="Cambria Math" w:cs="Tahoma"/>
                    </w:rPr>
                    <m:t xml:space="preserve"> </m:t>
                  </m:r>
                  <m:r>
                    <w:rPr>
                      <w:rFonts w:ascii="Cambria Math" w:hAnsi="Cambria Math" w:cs="Tahoma"/>
                      <w:sz w:val="24"/>
                      <w:szCs w:val="24"/>
                    </w:rPr>
                    <m:t>specific mortality rate × standard population weight</m:t>
                  </m:r>
                </m:e>
              </m:d>
            </m:e>
          </m:nary>
        </m:oMath>
      </m:oMathPara>
    </w:p>
    <w:p w14:paraId="4CD1A928" w14:textId="08ED3053" w:rsidR="00112E69" w:rsidRPr="00903B92" w:rsidRDefault="00112E69" w:rsidP="00103E31">
      <w:pPr>
        <w:pStyle w:val="NoSpacing"/>
        <w:rPr>
          <w:rFonts w:ascii="Tahoma" w:hAnsi="Tahoma" w:cs="Tahoma"/>
        </w:rPr>
      </w:pPr>
    </w:p>
    <w:p w14:paraId="0E6386D2" w14:textId="09468576" w:rsidR="00933AA0" w:rsidRPr="00903B92" w:rsidRDefault="00933AA0" w:rsidP="00103E31">
      <w:pPr>
        <w:pStyle w:val="NoSpacing"/>
        <w:rPr>
          <w:rFonts w:ascii="Tahoma" w:hAnsi="Tahoma" w:cs="Tahoma"/>
        </w:rPr>
      </w:pPr>
    </w:p>
    <w:p w14:paraId="717AB49D" w14:textId="2DBFD46C" w:rsidR="006B60C8" w:rsidRPr="00903B92" w:rsidRDefault="006B60C8" w:rsidP="00103E31">
      <w:pPr>
        <w:pStyle w:val="NoSpacing"/>
        <w:rPr>
          <w:rFonts w:ascii="Tahoma" w:hAnsi="Tahoma" w:cs="Tahoma"/>
          <w:i/>
          <w:iCs/>
        </w:rPr>
      </w:pPr>
      <w:r w:rsidRPr="00903B92">
        <w:rPr>
          <w:rFonts w:ascii="Tahoma" w:hAnsi="Tahoma" w:cs="Tahoma"/>
          <w:i/>
          <w:iCs/>
        </w:rPr>
        <w:t>Years of potential life lost</w:t>
      </w:r>
    </w:p>
    <w:p w14:paraId="323B81A3" w14:textId="77777777" w:rsidR="006B60C8" w:rsidRPr="00903B92" w:rsidRDefault="006B60C8" w:rsidP="006B60C8">
      <w:pPr>
        <w:pStyle w:val="NoSpacing"/>
        <w:rPr>
          <w:rFonts w:ascii="Tahoma" w:hAnsi="Tahoma" w:cs="Tahoma"/>
        </w:rPr>
      </w:pPr>
    </w:p>
    <w:p w14:paraId="791C5A34" w14:textId="4FBD74ED" w:rsidR="006B60C8" w:rsidRPr="00903B92" w:rsidRDefault="006B60C8" w:rsidP="006B60C8">
      <w:pPr>
        <w:pStyle w:val="NoSpacing"/>
        <w:rPr>
          <w:rFonts w:ascii="Tahoma" w:hAnsi="Tahoma" w:cs="Tahoma"/>
        </w:rPr>
      </w:pPr>
      <w:r w:rsidRPr="00903B92">
        <w:rPr>
          <w:rFonts w:ascii="Tahoma" w:hAnsi="Tahoma" w:cs="Tahoma"/>
        </w:rPr>
        <w:t xml:space="preserve">The years of potential life lost (YPLL) calculation estimates the number of life years lost to premature deaths. </w:t>
      </w:r>
      <w:proofErr w:type="gramStart"/>
      <w:r w:rsidRPr="00903B92">
        <w:rPr>
          <w:rFonts w:ascii="Tahoma" w:hAnsi="Tahoma" w:cs="Tahoma"/>
        </w:rPr>
        <w:t>Similar to</w:t>
      </w:r>
      <w:proofErr w:type="gramEnd"/>
      <w:r w:rsidRPr="00903B92">
        <w:rPr>
          <w:rFonts w:ascii="Tahoma" w:hAnsi="Tahoma" w:cs="Tahoma"/>
        </w:rPr>
        <w:t xml:space="preserve"> life expectancy, YPLL is a good measure of the overall health of an area. Wisconsin uses age 75 as the benchmark for YPLL calculations. A negative number indicates that average age at death exceeded 75 years, while a positive number indicates that the average age at death fell short of 75 years. </w:t>
      </w:r>
    </w:p>
    <w:p w14:paraId="3344FFF6" w14:textId="77777777" w:rsidR="006B60C8" w:rsidRPr="00903B92" w:rsidRDefault="006B60C8" w:rsidP="00103E31">
      <w:pPr>
        <w:pStyle w:val="NoSpacing"/>
        <w:rPr>
          <w:rFonts w:ascii="Tahoma" w:hAnsi="Tahoma" w:cs="Tahoma"/>
          <w:i/>
          <w:iCs/>
        </w:rPr>
      </w:pPr>
    </w:p>
    <w:p w14:paraId="04B29EFB" w14:textId="5AE5EF9A" w:rsidR="00103E31" w:rsidRPr="00903B92" w:rsidRDefault="00103E31" w:rsidP="00103E31">
      <w:pPr>
        <w:pStyle w:val="NoSpacing"/>
        <w:rPr>
          <w:rFonts w:ascii="Tahoma" w:hAnsi="Tahoma" w:cs="Tahoma"/>
        </w:rPr>
      </w:pPr>
      <m:oMathPara>
        <m:oMath>
          <m:r>
            <w:rPr>
              <w:rFonts w:ascii="Cambria Math" w:hAnsi="Cambria Math" w:cs="Tahoma"/>
            </w:rPr>
            <m:t>Years of potential life lost (YPLL)=Benchmark age for population-Average life expectancy for a population</m:t>
          </m:r>
        </m:oMath>
      </m:oMathPara>
    </w:p>
    <w:p w14:paraId="63202CFB" w14:textId="7AB4A305" w:rsidR="00112E69" w:rsidRPr="00903B92" w:rsidRDefault="006B60C8" w:rsidP="006B60C8">
      <w:pPr>
        <w:rPr>
          <w:rFonts w:ascii="Tahoma" w:hAnsi="Tahoma" w:cs="Tahoma"/>
          <w:sz w:val="24"/>
          <w:szCs w:val="24"/>
        </w:rPr>
      </w:pPr>
      <w:r w:rsidRPr="00903B92">
        <w:rPr>
          <w:rFonts w:ascii="Tahoma" w:hAnsi="Tahoma" w:cs="Tahoma"/>
          <w:sz w:val="24"/>
          <w:szCs w:val="24"/>
        </w:rPr>
        <w:br w:type="page"/>
      </w:r>
    </w:p>
    <w:p w14:paraId="29FAA40D" w14:textId="77777777" w:rsidR="00FA2487" w:rsidRPr="00903B92" w:rsidRDefault="00FA2487" w:rsidP="00FA2487">
      <w:pPr>
        <w:pBdr>
          <w:bottom w:val="single" w:sz="12" w:space="0" w:color="auto"/>
        </w:pBdr>
        <w:spacing w:after="0"/>
        <w:rPr>
          <w:rFonts w:ascii="Tahoma" w:hAnsi="Tahoma" w:cs="Tahoma"/>
          <w:sz w:val="24"/>
          <w:szCs w:val="24"/>
        </w:rPr>
      </w:pPr>
    </w:p>
    <w:p w14:paraId="0F7452DA" w14:textId="3164B1C2" w:rsidR="00FA2487" w:rsidRPr="00903B92" w:rsidRDefault="00FA2487" w:rsidP="002E5B05">
      <w:pPr>
        <w:pStyle w:val="Heading1"/>
        <w:rPr>
          <w:rFonts w:ascii="Tahoma" w:hAnsi="Tahoma" w:cs="Tahoma"/>
        </w:rPr>
      </w:pPr>
      <w:r w:rsidRPr="00903B92">
        <w:rPr>
          <w:rFonts w:ascii="Tahoma" w:hAnsi="Tahoma" w:cs="Tahoma"/>
        </w:rPr>
        <w:t>Appendix</w:t>
      </w:r>
    </w:p>
    <w:p w14:paraId="7EFA57EE" w14:textId="77777777" w:rsidR="00096778" w:rsidRPr="00903B92" w:rsidRDefault="00096778" w:rsidP="00112E69">
      <w:pPr>
        <w:pStyle w:val="NoSpacing"/>
        <w:rPr>
          <w:rFonts w:ascii="Tahoma" w:hAnsi="Tahoma" w:cs="Tahoma"/>
          <w:b/>
          <w:bCs/>
          <w:sz w:val="24"/>
          <w:szCs w:val="24"/>
          <w:u w:val="single"/>
        </w:rPr>
      </w:pPr>
    </w:p>
    <w:p w14:paraId="199DE4F8" w14:textId="5DF0AC9E" w:rsidR="00112E69" w:rsidRPr="00903B92" w:rsidRDefault="00112E69" w:rsidP="00112E69">
      <w:pPr>
        <w:pStyle w:val="NoSpacing"/>
        <w:rPr>
          <w:rFonts w:ascii="Tahoma" w:hAnsi="Tahoma" w:cs="Tahoma"/>
          <w:b/>
          <w:bCs/>
          <w:sz w:val="24"/>
          <w:szCs w:val="24"/>
        </w:rPr>
      </w:pPr>
      <w:r w:rsidRPr="00903B92">
        <w:rPr>
          <w:rFonts w:ascii="Tahoma" w:hAnsi="Tahoma" w:cs="Tahoma"/>
          <w:b/>
          <w:bCs/>
          <w:sz w:val="24"/>
          <w:szCs w:val="24"/>
        </w:rPr>
        <w:t xml:space="preserve">ICD10 Classification </w:t>
      </w:r>
    </w:p>
    <w:tbl>
      <w:tblPr>
        <w:tblW w:w="9000" w:type="dxa"/>
        <w:tblLook w:val="04A0" w:firstRow="1" w:lastRow="0" w:firstColumn="1" w:lastColumn="0" w:noHBand="0" w:noVBand="1"/>
      </w:tblPr>
      <w:tblGrid>
        <w:gridCol w:w="980"/>
        <w:gridCol w:w="3680"/>
        <w:gridCol w:w="4340"/>
      </w:tblGrid>
      <w:tr w:rsidR="00706075" w:rsidRPr="00706075" w14:paraId="003F697F" w14:textId="77777777" w:rsidTr="00706075">
        <w:trPr>
          <w:trHeight w:val="300"/>
        </w:trPr>
        <w:tc>
          <w:tcPr>
            <w:tcW w:w="9000" w:type="dxa"/>
            <w:gridSpan w:val="3"/>
            <w:tcBorders>
              <w:top w:val="nil"/>
              <w:left w:val="nil"/>
              <w:bottom w:val="single" w:sz="8" w:space="0" w:color="auto"/>
              <w:right w:val="nil"/>
            </w:tcBorders>
            <w:shd w:val="clear" w:color="auto" w:fill="auto"/>
            <w:vAlign w:val="center"/>
            <w:hideMark/>
          </w:tcPr>
          <w:p w14:paraId="7FABE364" w14:textId="5E284039" w:rsidR="00706075" w:rsidRPr="00706075" w:rsidRDefault="00706075" w:rsidP="00706075">
            <w:pPr>
              <w:spacing w:after="0" w:line="240" w:lineRule="auto"/>
              <w:rPr>
                <w:rFonts w:ascii="Tahoma" w:eastAsia="Times New Roman" w:hAnsi="Tahoma" w:cs="Tahoma"/>
                <w:b/>
                <w:bCs/>
                <w:color w:val="000000"/>
              </w:rPr>
            </w:pPr>
            <w:r w:rsidRPr="00706075">
              <w:rPr>
                <w:rFonts w:ascii="Tahoma" w:eastAsia="Times New Roman" w:hAnsi="Tahoma" w:cs="Tahoma"/>
                <w:b/>
                <w:bCs/>
                <w:color w:val="000000"/>
              </w:rPr>
              <w:t>Table 2. Causes of Death and ICD-10 Classifications, 2018</w:t>
            </w:r>
            <w:r w:rsidR="00694DBB" w:rsidRPr="00903B92">
              <w:rPr>
                <w:rFonts w:ascii="Tahoma" w:eastAsia="Times New Roman" w:hAnsi="Tahoma" w:cs="Tahoma"/>
                <w:b/>
                <w:bCs/>
                <w:color w:val="000000"/>
              </w:rPr>
              <w:t>–</w:t>
            </w:r>
            <w:r w:rsidRPr="00706075">
              <w:rPr>
                <w:rFonts w:ascii="Tahoma" w:eastAsia="Times New Roman" w:hAnsi="Tahoma" w:cs="Tahoma"/>
                <w:b/>
                <w:bCs/>
                <w:color w:val="000000"/>
              </w:rPr>
              <w:t>2023</w:t>
            </w:r>
          </w:p>
        </w:tc>
      </w:tr>
      <w:tr w:rsidR="00706075" w:rsidRPr="00706075" w14:paraId="5DE0D4A8" w14:textId="77777777" w:rsidTr="00706075">
        <w:trPr>
          <w:trHeight w:val="588"/>
        </w:trPr>
        <w:tc>
          <w:tcPr>
            <w:tcW w:w="980" w:type="dxa"/>
            <w:tcBorders>
              <w:top w:val="nil"/>
              <w:left w:val="nil"/>
              <w:bottom w:val="single" w:sz="8" w:space="0" w:color="auto"/>
              <w:right w:val="nil"/>
            </w:tcBorders>
            <w:shd w:val="clear" w:color="auto" w:fill="auto"/>
            <w:vAlign w:val="center"/>
            <w:hideMark/>
          </w:tcPr>
          <w:p w14:paraId="1BBECB7C" w14:textId="77777777" w:rsidR="00706075" w:rsidRPr="00706075" w:rsidRDefault="00706075" w:rsidP="00706075">
            <w:pPr>
              <w:spacing w:after="0" w:line="240" w:lineRule="auto"/>
              <w:jc w:val="center"/>
              <w:rPr>
                <w:rFonts w:ascii="Tahoma" w:eastAsia="Times New Roman" w:hAnsi="Tahoma" w:cs="Tahoma"/>
                <w:b/>
                <w:bCs/>
                <w:color w:val="000000"/>
              </w:rPr>
            </w:pPr>
            <w:r w:rsidRPr="00706075">
              <w:rPr>
                <w:rFonts w:ascii="Tahoma" w:eastAsia="Times New Roman" w:hAnsi="Tahoma" w:cs="Tahoma"/>
                <w:b/>
                <w:bCs/>
                <w:color w:val="000000"/>
              </w:rPr>
              <w:t>CAUSE CODE</w:t>
            </w:r>
          </w:p>
        </w:tc>
        <w:tc>
          <w:tcPr>
            <w:tcW w:w="3680" w:type="dxa"/>
            <w:tcBorders>
              <w:top w:val="nil"/>
              <w:left w:val="nil"/>
              <w:bottom w:val="single" w:sz="8" w:space="0" w:color="auto"/>
              <w:right w:val="nil"/>
            </w:tcBorders>
            <w:shd w:val="clear" w:color="auto" w:fill="auto"/>
            <w:vAlign w:val="center"/>
            <w:hideMark/>
          </w:tcPr>
          <w:p w14:paraId="01911D2F" w14:textId="77777777" w:rsidR="00706075" w:rsidRPr="00706075" w:rsidRDefault="00706075" w:rsidP="00706075">
            <w:pPr>
              <w:spacing w:after="0" w:line="240" w:lineRule="auto"/>
              <w:rPr>
                <w:rFonts w:ascii="Tahoma" w:eastAsia="Times New Roman" w:hAnsi="Tahoma" w:cs="Tahoma"/>
                <w:b/>
                <w:bCs/>
                <w:color w:val="000000"/>
              </w:rPr>
            </w:pPr>
            <w:r w:rsidRPr="00706075">
              <w:rPr>
                <w:rFonts w:ascii="Tahoma" w:eastAsia="Times New Roman" w:hAnsi="Tahoma" w:cs="Tahoma"/>
                <w:b/>
                <w:bCs/>
                <w:color w:val="000000"/>
              </w:rPr>
              <w:t>CAUSE OF DEATH</w:t>
            </w:r>
          </w:p>
        </w:tc>
        <w:tc>
          <w:tcPr>
            <w:tcW w:w="4340" w:type="dxa"/>
            <w:tcBorders>
              <w:top w:val="nil"/>
              <w:left w:val="nil"/>
              <w:bottom w:val="single" w:sz="8" w:space="0" w:color="auto"/>
              <w:right w:val="nil"/>
            </w:tcBorders>
            <w:shd w:val="clear" w:color="auto" w:fill="auto"/>
            <w:vAlign w:val="center"/>
            <w:hideMark/>
          </w:tcPr>
          <w:p w14:paraId="37193A5D" w14:textId="77777777" w:rsidR="00706075" w:rsidRPr="00706075" w:rsidRDefault="00706075" w:rsidP="00706075">
            <w:pPr>
              <w:spacing w:after="0" w:line="240" w:lineRule="auto"/>
              <w:rPr>
                <w:rFonts w:ascii="Tahoma" w:eastAsia="Times New Roman" w:hAnsi="Tahoma" w:cs="Tahoma"/>
                <w:b/>
                <w:bCs/>
                <w:color w:val="000000"/>
              </w:rPr>
            </w:pPr>
            <w:r w:rsidRPr="00706075">
              <w:rPr>
                <w:rFonts w:ascii="Tahoma" w:eastAsia="Times New Roman" w:hAnsi="Tahoma" w:cs="Tahoma"/>
                <w:b/>
                <w:bCs/>
                <w:color w:val="000000"/>
              </w:rPr>
              <w:t>ICD-10 CODES</w:t>
            </w:r>
          </w:p>
        </w:tc>
      </w:tr>
      <w:tr w:rsidR="00706075" w:rsidRPr="00706075" w14:paraId="1172AE08" w14:textId="77777777" w:rsidTr="00706075">
        <w:trPr>
          <w:trHeight w:val="288"/>
        </w:trPr>
        <w:tc>
          <w:tcPr>
            <w:tcW w:w="980" w:type="dxa"/>
            <w:tcBorders>
              <w:top w:val="nil"/>
              <w:left w:val="nil"/>
              <w:bottom w:val="nil"/>
              <w:right w:val="nil"/>
            </w:tcBorders>
            <w:shd w:val="clear" w:color="000000" w:fill="E7E6E6"/>
            <w:vAlign w:val="center"/>
            <w:hideMark/>
          </w:tcPr>
          <w:p w14:paraId="154B124B"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w:t>
            </w:r>
          </w:p>
        </w:tc>
        <w:tc>
          <w:tcPr>
            <w:tcW w:w="3680" w:type="dxa"/>
            <w:tcBorders>
              <w:top w:val="nil"/>
              <w:left w:val="nil"/>
              <w:bottom w:val="nil"/>
              <w:right w:val="nil"/>
            </w:tcBorders>
            <w:shd w:val="clear" w:color="000000" w:fill="E7E6E6"/>
            <w:vAlign w:val="center"/>
            <w:hideMark/>
          </w:tcPr>
          <w:p w14:paraId="7C0971E1"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Salmonella infections</w:t>
            </w:r>
          </w:p>
        </w:tc>
        <w:tc>
          <w:tcPr>
            <w:tcW w:w="4340" w:type="dxa"/>
            <w:tcBorders>
              <w:top w:val="nil"/>
              <w:left w:val="nil"/>
              <w:bottom w:val="nil"/>
              <w:right w:val="nil"/>
            </w:tcBorders>
            <w:shd w:val="clear" w:color="000000" w:fill="E7E6E6"/>
            <w:vAlign w:val="center"/>
            <w:hideMark/>
          </w:tcPr>
          <w:p w14:paraId="1162AC24" w14:textId="430BDCF4"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A01*, A02*</w:t>
            </w:r>
          </w:p>
        </w:tc>
      </w:tr>
      <w:tr w:rsidR="00706075" w:rsidRPr="00706075" w14:paraId="6F05A1F4" w14:textId="77777777" w:rsidTr="00706075">
        <w:trPr>
          <w:trHeight w:val="288"/>
        </w:trPr>
        <w:tc>
          <w:tcPr>
            <w:tcW w:w="980" w:type="dxa"/>
            <w:tcBorders>
              <w:top w:val="nil"/>
              <w:left w:val="nil"/>
              <w:bottom w:val="nil"/>
              <w:right w:val="nil"/>
            </w:tcBorders>
            <w:shd w:val="clear" w:color="auto" w:fill="auto"/>
            <w:vAlign w:val="center"/>
            <w:hideMark/>
          </w:tcPr>
          <w:p w14:paraId="778B3149"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w:t>
            </w:r>
          </w:p>
        </w:tc>
        <w:tc>
          <w:tcPr>
            <w:tcW w:w="3680" w:type="dxa"/>
            <w:tcBorders>
              <w:top w:val="nil"/>
              <w:left w:val="nil"/>
              <w:bottom w:val="nil"/>
              <w:right w:val="nil"/>
            </w:tcBorders>
            <w:shd w:val="clear" w:color="auto" w:fill="auto"/>
            <w:vAlign w:val="center"/>
            <w:hideMark/>
          </w:tcPr>
          <w:p w14:paraId="31EEA931"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Shigellosis and amebiasis</w:t>
            </w:r>
          </w:p>
        </w:tc>
        <w:tc>
          <w:tcPr>
            <w:tcW w:w="4340" w:type="dxa"/>
            <w:tcBorders>
              <w:top w:val="nil"/>
              <w:left w:val="nil"/>
              <w:bottom w:val="nil"/>
              <w:right w:val="nil"/>
            </w:tcBorders>
            <w:shd w:val="clear" w:color="auto" w:fill="auto"/>
            <w:vAlign w:val="center"/>
            <w:hideMark/>
          </w:tcPr>
          <w:p w14:paraId="2BDD9764"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A03*, A06*</w:t>
            </w:r>
          </w:p>
        </w:tc>
      </w:tr>
      <w:tr w:rsidR="00706075" w:rsidRPr="00706075" w14:paraId="7DDDE1C9" w14:textId="77777777" w:rsidTr="00706075">
        <w:trPr>
          <w:trHeight w:val="288"/>
        </w:trPr>
        <w:tc>
          <w:tcPr>
            <w:tcW w:w="980" w:type="dxa"/>
            <w:tcBorders>
              <w:top w:val="nil"/>
              <w:left w:val="nil"/>
              <w:bottom w:val="nil"/>
              <w:right w:val="nil"/>
            </w:tcBorders>
            <w:shd w:val="clear" w:color="000000" w:fill="E7E6E6"/>
            <w:vAlign w:val="center"/>
            <w:hideMark/>
          </w:tcPr>
          <w:p w14:paraId="46230A8C"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w:t>
            </w:r>
          </w:p>
        </w:tc>
        <w:tc>
          <w:tcPr>
            <w:tcW w:w="3680" w:type="dxa"/>
            <w:tcBorders>
              <w:top w:val="nil"/>
              <w:left w:val="nil"/>
              <w:bottom w:val="nil"/>
              <w:right w:val="nil"/>
            </w:tcBorders>
            <w:shd w:val="clear" w:color="000000" w:fill="E7E6E6"/>
            <w:vAlign w:val="center"/>
            <w:hideMark/>
          </w:tcPr>
          <w:p w14:paraId="49586EE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Tuberculosis</w:t>
            </w:r>
          </w:p>
        </w:tc>
        <w:tc>
          <w:tcPr>
            <w:tcW w:w="4340" w:type="dxa"/>
            <w:tcBorders>
              <w:top w:val="nil"/>
              <w:left w:val="nil"/>
              <w:bottom w:val="nil"/>
              <w:right w:val="nil"/>
            </w:tcBorders>
            <w:shd w:val="clear" w:color="000000" w:fill="E7E6E6"/>
            <w:vAlign w:val="center"/>
            <w:hideMark/>
          </w:tcPr>
          <w:p w14:paraId="60A3902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A16*- A19*</w:t>
            </w:r>
          </w:p>
        </w:tc>
      </w:tr>
      <w:tr w:rsidR="00706075" w:rsidRPr="00706075" w14:paraId="0478FFAB" w14:textId="77777777" w:rsidTr="00706075">
        <w:trPr>
          <w:trHeight w:val="288"/>
        </w:trPr>
        <w:tc>
          <w:tcPr>
            <w:tcW w:w="980" w:type="dxa"/>
            <w:tcBorders>
              <w:top w:val="nil"/>
              <w:left w:val="nil"/>
              <w:bottom w:val="nil"/>
              <w:right w:val="nil"/>
            </w:tcBorders>
            <w:shd w:val="clear" w:color="auto" w:fill="auto"/>
            <w:vAlign w:val="center"/>
            <w:hideMark/>
          </w:tcPr>
          <w:p w14:paraId="442BD002"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w:t>
            </w:r>
          </w:p>
        </w:tc>
        <w:tc>
          <w:tcPr>
            <w:tcW w:w="3680" w:type="dxa"/>
            <w:tcBorders>
              <w:top w:val="nil"/>
              <w:left w:val="nil"/>
              <w:bottom w:val="nil"/>
              <w:right w:val="nil"/>
            </w:tcBorders>
            <w:shd w:val="clear" w:color="auto" w:fill="auto"/>
            <w:vAlign w:val="center"/>
            <w:hideMark/>
          </w:tcPr>
          <w:p w14:paraId="5FD7BD7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Whooping cough</w:t>
            </w:r>
          </w:p>
        </w:tc>
        <w:tc>
          <w:tcPr>
            <w:tcW w:w="4340" w:type="dxa"/>
            <w:tcBorders>
              <w:top w:val="nil"/>
              <w:left w:val="nil"/>
              <w:bottom w:val="nil"/>
              <w:right w:val="nil"/>
            </w:tcBorders>
            <w:shd w:val="clear" w:color="auto" w:fill="auto"/>
            <w:vAlign w:val="center"/>
            <w:hideMark/>
          </w:tcPr>
          <w:p w14:paraId="728C1E72"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A37*</w:t>
            </w:r>
          </w:p>
        </w:tc>
      </w:tr>
      <w:tr w:rsidR="00706075" w:rsidRPr="00706075" w14:paraId="70500AD1" w14:textId="77777777" w:rsidTr="00706075">
        <w:trPr>
          <w:trHeight w:val="288"/>
        </w:trPr>
        <w:tc>
          <w:tcPr>
            <w:tcW w:w="980" w:type="dxa"/>
            <w:tcBorders>
              <w:top w:val="nil"/>
              <w:left w:val="nil"/>
              <w:bottom w:val="nil"/>
              <w:right w:val="nil"/>
            </w:tcBorders>
            <w:shd w:val="clear" w:color="000000" w:fill="E7E6E6"/>
            <w:vAlign w:val="center"/>
            <w:hideMark/>
          </w:tcPr>
          <w:p w14:paraId="30F4E72A"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5</w:t>
            </w:r>
          </w:p>
        </w:tc>
        <w:tc>
          <w:tcPr>
            <w:tcW w:w="3680" w:type="dxa"/>
            <w:tcBorders>
              <w:top w:val="nil"/>
              <w:left w:val="nil"/>
              <w:bottom w:val="nil"/>
              <w:right w:val="nil"/>
            </w:tcBorders>
            <w:shd w:val="clear" w:color="000000" w:fill="E7E6E6"/>
            <w:vAlign w:val="center"/>
            <w:hideMark/>
          </w:tcPr>
          <w:p w14:paraId="3E54F7E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Scarlet fever and erysipelas</w:t>
            </w:r>
          </w:p>
        </w:tc>
        <w:tc>
          <w:tcPr>
            <w:tcW w:w="4340" w:type="dxa"/>
            <w:tcBorders>
              <w:top w:val="nil"/>
              <w:left w:val="nil"/>
              <w:bottom w:val="nil"/>
              <w:right w:val="nil"/>
            </w:tcBorders>
            <w:shd w:val="clear" w:color="000000" w:fill="E7E6E6"/>
            <w:vAlign w:val="center"/>
            <w:hideMark/>
          </w:tcPr>
          <w:p w14:paraId="5CB6EA8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A38*, A46*</w:t>
            </w:r>
          </w:p>
        </w:tc>
      </w:tr>
      <w:tr w:rsidR="00706075" w:rsidRPr="00706075" w14:paraId="4B4AE2B0" w14:textId="77777777" w:rsidTr="00706075">
        <w:trPr>
          <w:trHeight w:val="288"/>
        </w:trPr>
        <w:tc>
          <w:tcPr>
            <w:tcW w:w="980" w:type="dxa"/>
            <w:tcBorders>
              <w:top w:val="nil"/>
              <w:left w:val="nil"/>
              <w:bottom w:val="nil"/>
              <w:right w:val="nil"/>
            </w:tcBorders>
            <w:shd w:val="clear" w:color="auto" w:fill="auto"/>
            <w:vAlign w:val="center"/>
            <w:hideMark/>
          </w:tcPr>
          <w:p w14:paraId="49BBE298"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6</w:t>
            </w:r>
          </w:p>
        </w:tc>
        <w:tc>
          <w:tcPr>
            <w:tcW w:w="3680" w:type="dxa"/>
            <w:tcBorders>
              <w:top w:val="nil"/>
              <w:left w:val="nil"/>
              <w:bottom w:val="nil"/>
              <w:right w:val="nil"/>
            </w:tcBorders>
            <w:shd w:val="clear" w:color="auto" w:fill="auto"/>
            <w:vAlign w:val="center"/>
            <w:hideMark/>
          </w:tcPr>
          <w:p w14:paraId="47F0C5FF"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Meningococcal infection</w:t>
            </w:r>
          </w:p>
        </w:tc>
        <w:tc>
          <w:tcPr>
            <w:tcW w:w="4340" w:type="dxa"/>
            <w:tcBorders>
              <w:top w:val="nil"/>
              <w:left w:val="nil"/>
              <w:bottom w:val="nil"/>
              <w:right w:val="nil"/>
            </w:tcBorders>
            <w:shd w:val="clear" w:color="auto" w:fill="auto"/>
            <w:vAlign w:val="center"/>
            <w:hideMark/>
          </w:tcPr>
          <w:p w14:paraId="7AE8AD3C"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A39*</w:t>
            </w:r>
          </w:p>
        </w:tc>
      </w:tr>
      <w:tr w:rsidR="00706075" w:rsidRPr="00706075" w14:paraId="223E6377" w14:textId="77777777" w:rsidTr="00706075">
        <w:trPr>
          <w:trHeight w:val="288"/>
        </w:trPr>
        <w:tc>
          <w:tcPr>
            <w:tcW w:w="980" w:type="dxa"/>
            <w:tcBorders>
              <w:top w:val="nil"/>
              <w:left w:val="nil"/>
              <w:bottom w:val="nil"/>
              <w:right w:val="nil"/>
            </w:tcBorders>
            <w:shd w:val="clear" w:color="000000" w:fill="E7E6E6"/>
            <w:vAlign w:val="center"/>
            <w:hideMark/>
          </w:tcPr>
          <w:p w14:paraId="12E75893"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7</w:t>
            </w:r>
          </w:p>
        </w:tc>
        <w:tc>
          <w:tcPr>
            <w:tcW w:w="3680" w:type="dxa"/>
            <w:tcBorders>
              <w:top w:val="nil"/>
              <w:left w:val="nil"/>
              <w:bottom w:val="nil"/>
              <w:right w:val="nil"/>
            </w:tcBorders>
            <w:shd w:val="clear" w:color="000000" w:fill="E7E6E6"/>
            <w:vAlign w:val="center"/>
            <w:hideMark/>
          </w:tcPr>
          <w:p w14:paraId="503DC2B0"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Septicemia</w:t>
            </w:r>
          </w:p>
        </w:tc>
        <w:tc>
          <w:tcPr>
            <w:tcW w:w="4340" w:type="dxa"/>
            <w:tcBorders>
              <w:top w:val="nil"/>
              <w:left w:val="nil"/>
              <w:bottom w:val="nil"/>
              <w:right w:val="nil"/>
            </w:tcBorders>
            <w:shd w:val="clear" w:color="000000" w:fill="E7E6E6"/>
            <w:vAlign w:val="center"/>
            <w:hideMark/>
          </w:tcPr>
          <w:p w14:paraId="6C62B81F"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A40*, A41*</w:t>
            </w:r>
          </w:p>
        </w:tc>
      </w:tr>
      <w:tr w:rsidR="00706075" w:rsidRPr="00706075" w14:paraId="502FB0CF" w14:textId="77777777" w:rsidTr="00706075">
        <w:trPr>
          <w:trHeight w:val="288"/>
        </w:trPr>
        <w:tc>
          <w:tcPr>
            <w:tcW w:w="980" w:type="dxa"/>
            <w:tcBorders>
              <w:top w:val="nil"/>
              <w:left w:val="nil"/>
              <w:bottom w:val="nil"/>
              <w:right w:val="nil"/>
            </w:tcBorders>
            <w:shd w:val="clear" w:color="auto" w:fill="auto"/>
            <w:vAlign w:val="center"/>
            <w:hideMark/>
          </w:tcPr>
          <w:p w14:paraId="4E7A9CC7"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8</w:t>
            </w:r>
          </w:p>
        </w:tc>
        <w:tc>
          <w:tcPr>
            <w:tcW w:w="3680" w:type="dxa"/>
            <w:tcBorders>
              <w:top w:val="nil"/>
              <w:left w:val="nil"/>
              <w:bottom w:val="nil"/>
              <w:right w:val="nil"/>
            </w:tcBorders>
            <w:shd w:val="clear" w:color="auto" w:fill="auto"/>
            <w:vAlign w:val="center"/>
            <w:hideMark/>
          </w:tcPr>
          <w:p w14:paraId="50DD623F"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Syphilis</w:t>
            </w:r>
          </w:p>
        </w:tc>
        <w:tc>
          <w:tcPr>
            <w:tcW w:w="4340" w:type="dxa"/>
            <w:tcBorders>
              <w:top w:val="nil"/>
              <w:left w:val="nil"/>
              <w:bottom w:val="nil"/>
              <w:right w:val="nil"/>
            </w:tcBorders>
            <w:shd w:val="clear" w:color="auto" w:fill="auto"/>
            <w:vAlign w:val="center"/>
            <w:hideMark/>
          </w:tcPr>
          <w:p w14:paraId="580EF090"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A50*-A53*</w:t>
            </w:r>
          </w:p>
        </w:tc>
      </w:tr>
      <w:tr w:rsidR="00706075" w:rsidRPr="00706075" w14:paraId="32A7987E" w14:textId="77777777" w:rsidTr="00706075">
        <w:trPr>
          <w:trHeight w:val="288"/>
        </w:trPr>
        <w:tc>
          <w:tcPr>
            <w:tcW w:w="980" w:type="dxa"/>
            <w:tcBorders>
              <w:top w:val="nil"/>
              <w:left w:val="nil"/>
              <w:bottom w:val="nil"/>
              <w:right w:val="nil"/>
            </w:tcBorders>
            <w:shd w:val="clear" w:color="000000" w:fill="E7E6E6"/>
            <w:vAlign w:val="center"/>
            <w:hideMark/>
          </w:tcPr>
          <w:p w14:paraId="509ECFA3"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9</w:t>
            </w:r>
          </w:p>
        </w:tc>
        <w:tc>
          <w:tcPr>
            <w:tcW w:w="3680" w:type="dxa"/>
            <w:tcBorders>
              <w:top w:val="nil"/>
              <w:left w:val="nil"/>
              <w:bottom w:val="nil"/>
              <w:right w:val="nil"/>
            </w:tcBorders>
            <w:shd w:val="clear" w:color="000000" w:fill="E7E6E6"/>
            <w:vAlign w:val="center"/>
            <w:hideMark/>
          </w:tcPr>
          <w:p w14:paraId="77908344"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Acute poliomyelitis</w:t>
            </w:r>
          </w:p>
        </w:tc>
        <w:tc>
          <w:tcPr>
            <w:tcW w:w="4340" w:type="dxa"/>
            <w:tcBorders>
              <w:top w:val="nil"/>
              <w:left w:val="nil"/>
              <w:bottom w:val="nil"/>
              <w:right w:val="nil"/>
            </w:tcBorders>
            <w:shd w:val="clear" w:color="000000" w:fill="E7E6E6"/>
            <w:vAlign w:val="center"/>
            <w:hideMark/>
          </w:tcPr>
          <w:p w14:paraId="7E08CCD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A80*</w:t>
            </w:r>
          </w:p>
        </w:tc>
      </w:tr>
      <w:tr w:rsidR="00706075" w:rsidRPr="00706075" w14:paraId="7A45CE2E" w14:textId="77777777" w:rsidTr="00706075">
        <w:trPr>
          <w:trHeight w:val="288"/>
        </w:trPr>
        <w:tc>
          <w:tcPr>
            <w:tcW w:w="980" w:type="dxa"/>
            <w:tcBorders>
              <w:top w:val="nil"/>
              <w:left w:val="nil"/>
              <w:bottom w:val="nil"/>
              <w:right w:val="nil"/>
            </w:tcBorders>
            <w:shd w:val="clear" w:color="auto" w:fill="auto"/>
            <w:vAlign w:val="center"/>
            <w:hideMark/>
          </w:tcPr>
          <w:p w14:paraId="6291F6C2"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10</w:t>
            </w:r>
          </w:p>
        </w:tc>
        <w:tc>
          <w:tcPr>
            <w:tcW w:w="3680" w:type="dxa"/>
            <w:tcBorders>
              <w:top w:val="nil"/>
              <w:left w:val="nil"/>
              <w:bottom w:val="nil"/>
              <w:right w:val="nil"/>
            </w:tcBorders>
            <w:shd w:val="clear" w:color="auto" w:fill="auto"/>
            <w:vAlign w:val="center"/>
            <w:hideMark/>
          </w:tcPr>
          <w:p w14:paraId="14B45A47"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Arthropod-borne viral encephalitis</w:t>
            </w:r>
          </w:p>
        </w:tc>
        <w:tc>
          <w:tcPr>
            <w:tcW w:w="4340" w:type="dxa"/>
            <w:tcBorders>
              <w:top w:val="nil"/>
              <w:left w:val="nil"/>
              <w:bottom w:val="nil"/>
              <w:right w:val="nil"/>
            </w:tcBorders>
            <w:shd w:val="clear" w:color="auto" w:fill="auto"/>
            <w:vAlign w:val="center"/>
            <w:hideMark/>
          </w:tcPr>
          <w:p w14:paraId="65F81B8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A83*, A84*</w:t>
            </w:r>
          </w:p>
        </w:tc>
      </w:tr>
      <w:tr w:rsidR="00706075" w:rsidRPr="00706075" w14:paraId="2C6F64F2" w14:textId="77777777" w:rsidTr="00706075">
        <w:trPr>
          <w:trHeight w:val="288"/>
        </w:trPr>
        <w:tc>
          <w:tcPr>
            <w:tcW w:w="980" w:type="dxa"/>
            <w:tcBorders>
              <w:top w:val="nil"/>
              <w:left w:val="nil"/>
              <w:bottom w:val="nil"/>
              <w:right w:val="nil"/>
            </w:tcBorders>
            <w:shd w:val="clear" w:color="000000" w:fill="E7E6E6"/>
            <w:vAlign w:val="center"/>
            <w:hideMark/>
          </w:tcPr>
          <w:p w14:paraId="6303B25F"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10</w:t>
            </w:r>
          </w:p>
        </w:tc>
        <w:tc>
          <w:tcPr>
            <w:tcW w:w="3680" w:type="dxa"/>
            <w:tcBorders>
              <w:top w:val="nil"/>
              <w:left w:val="nil"/>
              <w:bottom w:val="nil"/>
              <w:right w:val="nil"/>
            </w:tcBorders>
            <w:shd w:val="clear" w:color="000000" w:fill="E7E6E6"/>
            <w:vAlign w:val="center"/>
            <w:hideMark/>
          </w:tcPr>
          <w:p w14:paraId="1FDEC380"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Arthropod-borne viral encephalitis</w:t>
            </w:r>
          </w:p>
        </w:tc>
        <w:tc>
          <w:tcPr>
            <w:tcW w:w="4340" w:type="dxa"/>
            <w:tcBorders>
              <w:top w:val="nil"/>
              <w:left w:val="nil"/>
              <w:bottom w:val="nil"/>
              <w:right w:val="nil"/>
            </w:tcBorders>
            <w:shd w:val="clear" w:color="000000" w:fill="E7E6E6"/>
            <w:vAlign w:val="center"/>
            <w:hideMark/>
          </w:tcPr>
          <w:p w14:paraId="3FFEC8F0"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A852*</w:t>
            </w:r>
          </w:p>
        </w:tc>
      </w:tr>
      <w:tr w:rsidR="00706075" w:rsidRPr="00706075" w14:paraId="1D067787" w14:textId="77777777" w:rsidTr="00706075">
        <w:trPr>
          <w:trHeight w:val="288"/>
        </w:trPr>
        <w:tc>
          <w:tcPr>
            <w:tcW w:w="980" w:type="dxa"/>
            <w:tcBorders>
              <w:top w:val="nil"/>
              <w:left w:val="nil"/>
              <w:bottom w:val="nil"/>
              <w:right w:val="nil"/>
            </w:tcBorders>
            <w:shd w:val="clear" w:color="auto" w:fill="auto"/>
            <w:vAlign w:val="center"/>
            <w:hideMark/>
          </w:tcPr>
          <w:p w14:paraId="488075E0"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11</w:t>
            </w:r>
          </w:p>
        </w:tc>
        <w:tc>
          <w:tcPr>
            <w:tcW w:w="3680" w:type="dxa"/>
            <w:tcBorders>
              <w:top w:val="nil"/>
              <w:left w:val="nil"/>
              <w:bottom w:val="nil"/>
              <w:right w:val="nil"/>
            </w:tcBorders>
            <w:shd w:val="clear" w:color="auto" w:fill="auto"/>
            <w:vAlign w:val="center"/>
            <w:hideMark/>
          </w:tcPr>
          <w:p w14:paraId="0336E3A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Measles</w:t>
            </w:r>
          </w:p>
        </w:tc>
        <w:tc>
          <w:tcPr>
            <w:tcW w:w="4340" w:type="dxa"/>
            <w:tcBorders>
              <w:top w:val="nil"/>
              <w:left w:val="nil"/>
              <w:bottom w:val="nil"/>
              <w:right w:val="nil"/>
            </w:tcBorders>
            <w:shd w:val="clear" w:color="auto" w:fill="auto"/>
            <w:vAlign w:val="center"/>
            <w:hideMark/>
          </w:tcPr>
          <w:p w14:paraId="6BC91A6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B05*</w:t>
            </w:r>
          </w:p>
        </w:tc>
      </w:tr>
      <w:tr w:rsidR="00706075" w:rsidRPr="00706075" w14:paraId="4DF66642" w14:textId="77777777" w:rsidTr="00706075">
        <w:trPr>
          <w:trHeight w:val="288"/>
        </w:trPr>
        <w:tc>
          <w:tcPr>
            <w:tcW w:w="980" w:type="dxa"/>
            <w:tcBorders>
              <w:top w:val="nil"/>
              <w:left w:val="nil"/>
              <w:bottom w:val="nil"/>
              <w:right w:val="nil"/>
            </w:tcBorders>
            <w:shd w:val="clear" w:color="000000" w:fill="E7E6E6"/>
            <w:vAlign w:val="center"/>
            <w:hideMark/>
          </w:tcPr>
          <w:p w14:paraId="1C243091"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12</w:t>
            </w:r>
          </w:p>
        </w:tc>
        <w:tc>
          <w:tcPr>
            <w:tcW w:w="3680" w:type="dxa"/>
            <w:tcBorders>
              <w:top w:val="nil"/>
              <w:left w:val="nil"/>
              <w:bottom w:val="nil"/>
              <w:right w:val="nil"/>
            </w:tcBorders>
            <w:shd w:val="clear" w:color="000000" w:fill="E7E6E6"/>
            <w:vAlign w:val="center"/>
            <w:hideMark/>
          </w:tcPr>
          <w:p w14:paraId="3367D8D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Viral hepatitis</w:t>
            </w:r>
          </w:p>
        </w:tc>
        <w:tc>
          <w:tcPr>
            <w:tcW w:w="4340" w:type="dxa"/>
            <w:tcBorders>
              <w:top w:val="nil"/>
              <w:left w:val="nil"/>
              <w:bottom w:val="nil"/>
              <w:right w:val="nil"/>
            </w:tcBorders>
            <w:shd w:val="clear" w:color="000000" w:fill="E7E6E6"/>
            <w:vAlign w:val="center"/>
            <w:hideMark/>
          </w:tcPr>
          <w:p w14:paraId="31F6390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B15*-B19*</w:t>
            </w:r>
          </w:p>
        </w:tc>
      </w:tr>
      <w:tr w:rsidR="00706075" w:rsidRPr="00706075" w14:paraId="70F92A96" w14:textId="77777777" w:rsidTr="00706075">
        <w:trPr>
          <w:trHeight w:val="288"/>
        </w:trPr>
        <w:tc>
          <w:tcPr>
            <w:tcW w:w="980" w:type="dxa"/>
            <w:tcBorders>
              <w:top w:val="nil"/>
              <w:left w:val="nil"/>
              <w:bottom w:val="nil"/>
              <w:right w:val="nil"/>
            </w:tcBorders>
            <w:shd w:val="clear" w:color="auto" w:fill="auto"/>
            <w:vAlign w:val="center"/>
            <w:hideMark/>
          </w:tcPr>
          <w:p w14:paraId="00BDCBF8"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13</w:t>
            </w:r>
          </w:p>
        </w:tc>
        <w:tc>
          <w:tcPr>
            <w:tcW w:w="3680" w:type="dxa"/>
            <w:tcBorders>
              <w:top w:val="nil"/>
              <w:left w:val="nil"/>
              <w:bottom w:val="nil"/>
              <w:right w:val="nil"/>
            </w:tcBorders>
            <w:shd w:val="clear" w:color="auto" w:fill="auto"/>
            <w:vAlign w:val="center"/>
            <w:hideMark/>
          </w:tcPr>
          <w:p w14:paraId="0C46A25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HIV</w:t>
            </w:r>
          </w:p>
        </w:tc>
        <w:tc>
          <w:tcPr>
            <w:tcW w:w="4340" w:type="dxa"/>
            <w:tcBorders>
              <w:top w:val="nil"/>
              <w:left w:val="nil"/>
              <w:bottom w:val="nil"/>
              <w:right w:val="nil"/>
            </w:tcBorders>
            <w:shd w:val="clear" w:color="auto" w:fill="auto"/>
            <w:vAlign w:val="center"/>
            <w:hideMark/>
          </w:tcPr>
          <w:p w14:paraId="0CCEB4C2"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B20*- B24*</w:t>
            </w:r>
          </w:p>
        </w:tc>
      </w:tr>
      <w:tr w:rsidR="00706075" w:rsidRPr="00706075" w14:paraId="11E18060" w14:textId="77777777" w:rsidTr="00706075">
        <w:trPr>
          <w:trHeight w:val="288"/>
        </w:trPr>
        <w:tc>
          <w:tcPr>
            <w:tcW w:w="980" w:type="dxa"/>
            <w:tcBorders>
              <w:top w:val="nil"/>
              <w:left w:val="nil"/>
              <w:bottom w:val="nil"/>
              <w:right w:val="nil"/>
            </w:tcBorders>
            <w:shd w:val="clear" w:color="000000" w:fill="E7E6E6"/>
            <w:vAlign w:val="center"/>
            <w:hideMark/>
          </w:tcPr>
          <w:p w14:paraId="21E3B637"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14</w:t>
            </w:r>
          </w:p>
        </w:tc>
        <w:tc>
          <w:tcPr>
            <w:tcW w:w="3680" w:type="dxa"/>
            <w:tcBorders>
              <w:top w:val="nil"/>
              <w:left w:val="nil"/>
              <w:bottom w:val="nil"/>
              <w:right w:val="nil"/>
            </w:tcBorders>
            <w:shd w:val="clear" w:color="000000" w:fill="E7E6E6"/>
            <w:vAlign w:val="center"/>
            <w:hideMark/>
          </w:tcPr>
          <w:p w14:paraId="37D225A3"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Malaria</w:t>
            </w:r>
          </w:p>
        </w:tc>
        <w:tc>
          <w:tcPr>
            <w:tcW w:w="4340" w:type="dxa"/>
            <w:tcBorders>
              <w:top w:val="nil"/>
              <w:left w:val="nil"/>
              <w:bottom w:val="nil"/>
              <w:right w:val="nil"/>
            </w:tcBorders>
            <w:shd w:val="clear" w:color="000000" w:fill="E7E6E6"/>
            <w:vAlign w:val="center"/>
            <w:hideMark/>
          </w:tcPr>
          <w:p w14:paraId="13FAA6E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B50*- B54*</w:t>
            </w:r>
          </w:p>
        </w:tc>
      </w:tr>
      <w:tr w:rsidR="00706075" w:rsidRPr="00706075" w14:paraId="5FACC864" w14:textId="77777777" w:rsidTr="00706075">
        <w:trPr>
          <w:trHeight w:val="288"/>
        </w:trPr>
        <w:tc>
          <w:tcPr>
            <w:tcW w:w="980" w:type="dxa"/>
            <w:tcBorders>
              <w:top w:val="nil"/>
              <w:left w:val="nil"/>
              <w:bottom w:val="nil"/>
              <w:right w:val="nil"/>
            </w:tcBorders>
            <w:shd w:val="clear" w:color="auto" w:fill="auto"/>
            <w:vAlign w:val="center"/>
            <w:hideMark/>
          </w:tcPr>
          <w:p w14:paraId="1306ACE8"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15</w:t>
            </w:r>
          </w:p>
        </w:tc>
        <w:tc>
          <w:tcPr>
            <w:tcW w:w="3680" w:type="dxa"/>
            <w:tcBorders>
              <w:top w:val="nil"/>
              <w:left w:val="nil"/>
              <w:bottom w:val="nil"/>
              <w:right w:val="nil"/>
            </w:tcBorders>
            <w:shd w:val="clear" w:color="auto" w:fill="auto"/>
            <w:vAlign w:val="center"/>
            <w:hideMark/>
          </w:tcPr>
          <w:p w14:paraId="02240572"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Malignant neoplasms</w:t>
            </w:r>
          </w:p>
        </w:tc>
        <w:tc>
          <w:tcPr>
            <w:tcW w:w="4340" w:type="dxa"/>
            <w:tcBorders>
              <w:top w:val="nil"/>
              <w:left w:val="nil"/>
              <w:bottom w:val="nil"/>
              <w:right w:val="nil"/>
            </w:tcBorders>
            <w:shd w:val="clear" w:color="auto" w:fill="auto"/>
            <w:vAlign w:val="center"/>
            <w:hideMark/>
          </w:tcPr>
          <w:p w14:paraId="3AF18CA1"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C*</w:t>
            </w:r>
          </w:p>
        </w:tc>
      </w:tr>
      <w:tr w:rsidR="00706075" w:rsidRPr="00706075" w14:paraId="3ED2DFE5" w14:textId="77777777" w:rsidTr="00706075">
        <w:trPr>
          <w:trHeight w:val="288"/>
        </w:trPr>
        <w:tc>
          <w:tcPr>
            <w:tcW w:w="980" w:type="dxa"/>
            <w:tcBorders>
              <w:top w:val="nil"/>
              <w:left w:val="nil"/>
              <w:bottom w:val="nil"/>
              <w:right w:val="nil"/>
            </w:tcBorders>
            <w:shd w:val="clear" w:color="000000" w:fill="E7E6E6"/>
            <w:vAlign w:val="center"/>
            <w:hideMark/>
          </w:tcPr>
          <w:p w14:paraId="02909540"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16</w:t>
            </w:r>
          </w:p>
        </w:tc>
        <w:tc>
          <w:tcPr>
            <w:tcW w:w="3680" w:type="dxa"/>
            <w:tcBorders>
              <w:top w:val="nil"/>
              <w:left w:val="nil"/>
              <w:bottom w:val="nil"/>
              <w:right w:val="nil"/>
            </w:tcBorders>
            <w:shd w:val="clear" w:color="000000" w:fill="E7E6E6"/>
            <w:vAlign w:val="center"/>
            <w:hideMark/>
          </w:tcPr>
          <w:p w14:paraId="7FBA617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Benign neoplasms</w:t>
            </w:r>
          </w:p>
        </w:tc>
        <w:tc>
          <w:tcPr>
            <w:tcW w:w="4340" w:type="dxa"/>
            <w:tcBorders>
              <w:top w:val="nil"/>
              <w:left w:val="nil"/>
              <w:bottom w:val="nil"/>
              <w:right w:val="nil"/>
            </w:tcBorders>
            <w:shd w:val="clear" w:color="000000" w:fill="E7E6E6"/>
            <w:vAlign w:val="center"/>
            <w:hideMark/>
          </w:tcPr>
          <w:p w14:paraId="2C39C1F7"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D0*-D4*</w:t>
            </w:r>
          </w:p>
        </w:tc>
      </w:tr>
      <w:tr w:rsidR="00706075" w:rsidRPr="00706075" w14:paraId="60F81E87" w14:textId="77777777" w:rsidTr="00706075">
        <w:trPr>
          <w:trHeight w:val="288"/>
        </w:trPr>
        <w:tc>
          <w:tcPr>
            <w:tcW w:w="980" w:type="dxa"/>
            <w:tcBorders>
              <w:top w:val="nil"/>
              <w:left w:val="nil"/>
              <w:bottom w:val="nil"/>
              <w:right w:val="nil"/>
            </w:tcBorders>
            <w:shd w:val="clear" w:color="auto" w:fill="auto"/>
            <w:vAlign w:val="center"/>
            <w:hideMark/>
          </w:tcPr>
          <w:p w14:paraId="3AE432C0"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17</w:t>
            </w:r>
          </w:p>
        </w:tc>
        <w:tc>
          <w:tcPr>
            <w:tcW w:w="3680" w:type="dxa"/>
            <w:tcBorders>
              <w:top w:val="nil"/>
              <w:left w:val="nil"/>
              <w:bottom w:val="nil"/>
              <w:right w:val="nil"/>
            </w:tcBorders>
            <w:shd w:val="clear" w:color="auto" w:fill="auto"/>
            <w:vAlign w:val="center"/>
            <w:hideMark/>
          </w:tcPr>
          <w:p w14:paraId="5F7BD26E"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Anemias</w:t>
            </w:r>
          </w:p>
        </w:tc>
        <w:tc>
          <w:tcPr>
            <w:tcW w:w="4340" w:type="dxa"/>
            <w:tcBorders>
              <w:top w:val="nil"/>
              <w:left w:val="nil"/>
              <w:bottom w:val="nil"/>
              <w:right w:val="nil"/>
            </w:tcBorders>
            <w:shd w:val="clear" w:color="auto" w:fill="auto"/>
            <w:vAlign w:val="center"/>
            <w:hideMark/>
          </w:tcPr>
          <w:p w14:paraId="2C44A84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D60*- D64*</w:t>
            </w:r>
          </w:p>
        </w:tc>
      </w:tr>
      <w:tr w:rsidR="00706075" w:rsidRPr="00706075" w14:paraId="5DB7FA37" w14:textId="77777777" w:rsidTr="00706075">
        <w:trPr>
          <w:trHeight w:val="288"/>
        </w:trPr>
        <w:tc>
          <w:tcPr>
            <w:tcW w:w="980" w:type="dxa"/>
            <w:tcBorders>
              <w:top w:val="nil"/>
              <w:left w:val="nil"/>
              <w:bottom w:val="nil"/>
              <w:right w:val="nil"/>
            </w:tcBorders>
            <w:shd w:val="clear" w:color="000000" w:fill="E7E6E6"/>
            <w:vAlign w:val="center"/>
            <w:hideMark/>
          </w:tcPr>
          <w:p w14:paraId="29B81B7A"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17</w:t>
            </w:r>
          </w:p>
        </w:tc>
        <w:tc>
          <w:tcPr>
            <w:tcW w:w="3680" w:type="dxa"/>
            <w:tcBorders>
              <w:top w:val="nil"/>
              <w:left w:val="nil"/>
              <w:bottom w:val="nil"/>
              <w:right w:val="nil"/>
            </w:tcBorders>
            <w:shd w:val="clear" w:color="000000" w:fill="E7E6E6"/>
            <w:vAlign w:val="center"/>
            <w:hideMark/>
          </w:tcPr>
          <w:p w14:paraId="1702E98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Anemias</w:t>
            </w:r>
          </w:p>
        </w:tc>
        <w:tc>
          <w:tcPr>
            <w:tcW w:w="4340" w:type="dxa"/>
            <w:tcBorders>
              <w:top w:val="nil"/>
              <w:left w:val="nil"/>
              <w:bottom w:val="nil"/>
              <w:right w:val="nil"/>
            </w:tcBorders>
            <w:shd w:val="clear" w:color="000000" w:fill="E7E6E6"/>
            <w:vAlign w:val="center"/>
            <w:hideMark/>
          </w:tcPr>
          <w:p w14:paraId="65C550C1"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D5*</w:t>
            </w:r>
          </w:p>
        </w:tc>
      </w:tr>
      <w:tr w:rsidR="00706075" w:rsidRPr="00706075" w14:paraId="3B19355E" w14:textId="77777777" w:rsidTr="00706075">
        <w:trPr>
          <w:trHeight w:val="288"/>
        </w:trPr>
        <w:tc>
          <w:tcPr>
            <w:tcW w:w="980" w:type="dxa"/>
            <w:tcBorders>
              <w:top w:val="nil"/>
              <w:left w:val="nil"/>
              <w:bottom w:val="nil"/>
              <w:right w:val="nil"/>
            </w:tcBorders>
            <w:shd w:val="clear" w:color="auto" w:fill="auto"/>
            <w:vAlign w:val="center"/>
            <w:hideMark/>
          </w:tcPr>
          <w:p w14:paraId="760704B7"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18</w:t>
            </w:r>
          </w:p>
        </w:tc>
        <w:tc>
          <w:tcPr>
            <w:tcW w:w="3680" w:type="dxa"/>
            <w:tcBorders>
              <w:top w:val="nil"/>
              <w:left w:val="nil"/>
              <w:bottom w:val="nil"/>
              <w:right w:val="nil"/>
            </w:tcBorders>
            <w:shd w:val="clear" w:color="auto" w:fill="auto"/>
            <w:vAlign w:val="center"/>
            <w:hideMark/>
          </w:tcPr>
          <w:p w14:paraId="064CE08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Diabetes mellitus</w:t>
            </w:r>
          </w:p>
        </w:tc>
        <w:tc>
          <w:tcPr>
            <w:tcW w:w="4340" w:type="dxa"/>
            <w:tcBorders>
              <w:top w:val="nil"/>
              <w:left w:val="nil"/>
              <w:bottom w:val="nil"/>
              <w:right w:val="nil"/>
            </w:tcBorders>
            <w:shd w:val="clear" w:color="auto" w:fill="auto"/>
            <w:vAlign w:val="center"/>
            <w:hideMark/>
          </w:tcPr>
          <w:p w14:paraId="4E4EAB94"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E10*- E14*</w:t>
            </w:r>
          </w:p>
        </w:tc>
      </w:tr>
      <w:tr w:rsidR="00706075" w:rsidRPr="00706075" w14:paraId="410AEC02" w14:textId="77777777" w:rsidTr="00706075">
        <w:trPr>
          <w:trHeight w:val="288"/>
        </w:trPr>
        <w:tc>
          <w:tcPr>
            <w:tcW w:w="980" w:type="dxa"/>
            <w:tcBorders>
              <w:top w:val="nil"/>
              <w:left w:val="nil"/>
              <w:bottom w:val="nil"/>
              <w:right w:val="nil"/>
            </w:tcBorders>
            <w:shd w:val="clear" w:color="000000" w:fill="E7E6E6"/>
            <w:vAlign w:val="center"/>
            <w:hideMark/>
          </w:tcPr>
          <w:p w14:paraId="51212081"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19</w:t>
            </w:r>
          </w:p>
        </w:tc>
        <w:tc>
          <w:tcPr>
            <w:tcW w:w="3680" w:type="dxa"/>
            <w:tcBorders>
              <w:top w:val="nil"/>
              <w:left w:val="nil"/>
              <w:bottom w:val="nil"/>
              <w:right w:val="nil"/>
            </w:tcBorders>
            <w:shd w:val="clear" w:color="000000" w:fill="E7E6E6"/>
            <w:vAlign w:val="center"/>
            <w:hideMark/>
          </w:tcPr>
          <w:p w14:paraId="7EE8C80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Nutritional deficiencies</w:t>
            </w:r>
          </w:p>
        </w:tc>
        <w:tc>
          <w:tcPr>
            <w:tcW w:w="4340" w:type="dxa"/>
            <w:tcBorders>
              <w:top w:val="nil"/>
              <w:left w:val="nil"/>
              <w:bottom w:val="nil"/>
              <w:right w:val="nil"/>
            </w:tcBorders>
            <w:shd w:val="clear" w:color="000000" w:fill="E7E6E6"/>
            <w:vAlign w:val="center"/>
            <w:hideMark/>
          </w:tcPr>
          <w:p w14:paraId="434ECC93"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E4*, E5*</w:t>
            </w:r>
          </w:p>
        </w:tc>
      </w:tr>
      <w:tr w:rsidR="00706075" w:rsidRPr="00706075" w14:paraId="486F8172" w14:textId="77777777" w:rsidTr="00706075">
        <w:trPr>
          <w:trHeight w:val="288"/>
        </w:trPr>
        <w:tc>
          <w:tcPr>
            <w:tcW w:w="980" w:type="dxa"/>
            <w:tcBorders>
              <w:top w:val="nil"/>
              <w:left w:val="nil"/>
              <w:bottom w:val="nil"/>
              <w:right w:val="nil"/>
            </w:tcBorders>
            <w:shd w:val="clear" w:color="auto" w:fill="auto"/>
            <w:vAlign w:val="center"/>
            <w:hideMark/>
          </w:tcPr>
          <w:p w14:paraId="5B0CE2F0"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19</w:t>
            </w:r>
          </w:p>
        </w:tc>
        <w:tc>
          <w:tcPr>
            <w:tcW w:w="3680" w:type="dxa"/>
            <w:tcBorders>
              <w:top w:val="nil"/>
              <w:left w:val="nil"/>
              <w:bottom w:val="nil"/>
              <w:right w:val="nil"/>
            </w:tcBorders>
            <w:shd w:val="clear" w:color="auto" w:fill="auto"/>
            <w:vAlign w:val="center"/>
            <w:hideMark/>
          </w:tcPr>
          <w:p w14:paraId="186B05B4"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Nutritional deficiencies</w:t>
            </w:r>
          </w:p>
        </w:tc>
        <w:tc>
          <w:tcPr>
            <w:tcW w:w="4340" w:type="dxa"/>
            <w:tcBorders>
              <w:top w:val="nil"/>
              <w:left w:val="nil"/>
              <w:bottom w:val="nil"/>
              <w:right w:val="nil"/>
            </w:tcBorders>
            <w:shd w:val="clear" w:color="auto" w:fill="auto"/>
            <w:vAlign w:val="center"/>
            <w:hideMark/>
          </w:tcPr>
          <w:p w14:paraId="5CC68F2C"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E60*- E64*</w:t>
            </w:r>
          </w:p>
        </w:tc>
      </w:tr>
      <w:tr w:rsidR="00706075" w:rsidRPr="00706075" w14:paraId="44BAC2C9" w14:textId="77777777" w:rsidTr="00706075">
        <w:trPr>
          <w:trHeight w:val="288"/>
        </w:trPr>
        <w:tc>
          <w:tcPr>
            <w:tcW w:w="980" w:type="dxa"/>
            <w:tcBorders>
              <w:top w:val="nil"/>
              <w:left w:val="nil"/>
              <w:bottom w:val="nil"/>
              <w:right w:val="nil"/>
            </w:tcBorders>
            <w:shd w:val="clear" w:color="000000" w:fill="E7E6E6"/>
            <w:vAlign w:val="center"/>
            <w:hideMark/>
          </w:tcPr>
          <w:p w14:paraId="78C5D2EB"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20</w:t>
            </w:r>
          </w:p>
        </w:tc>
        <w:tc>
          <w:tcPr>
            <w:tcW w:w="3680" w:type="dxa"/>
            <w:tcBorders>
              <w:top w:val="nil"/>
              <w:left w:val="nil"/>
              <w:bottom w:val="nil"/>
              <w:right w:val="nil"/>
            </w:tcBorders>
            <w:shd w:val="clear" w:color="000000" w:fill="E7E6E6"/>
            <w:vAlign w:val="center"/>
            <w:hideMark/>
          </w:tcPr>
          <w:p w14:paraId="58397FC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Meningitis</w:t>
            </w:r>
          </w:p>
        </w:tc>
        <w:tc>
          <w:tcPr>
            <w:tcW w:w="4340" w:type="dxa"/>
            <w:tcBorders>
              <w:top w:val="nil"/>
              <w:left w:val="nil"/>
              <w:bottom w:val="nil"/>
              <w:right w:val="nil"/>
            </w:tcBorders>
            <w:shd w:val="clear" w:color="000000" w:fill="E7E6E6"/>
            <w:vAlign w:val="center"/>
            <w:hideMark/>
          </w:tcPr>
          <w:p w14:paraId="30E7B941"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G00*, G03*</w:t>
            </w:r>
          </w:p>
        </w:tc>
      </w:tr>
      <w:tr w:rsidR="00706075" w:rsidRPr="00706075" w14:paraId="368B5EE0" w14:textId="77777777" w:rsidTr="00706075">
        <w:trPr>
          <w:trHeight w:val="288"/>
        </w:trPr>
        <w:tc>
          <w:tcPr>
            <w:tcW w:w="980" w:type="dxa"/>
            <w:tcBorders>
              <w:top w:val="nil"/>
              <w:left w:val="nil"/>
              <w:bottom w:val="nil"/>
              <w:right w:val="nil"/>
            </w:tcBorders>
            <w:shd w:val="clear" w:color="auto" w:fill="auto"/>
            <w:vAlign w:val="center"/>
            <w:hideMark/>
          </w:tcPr>
          <w:p w14:paraId="4BCF807F"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21</w:t>
            </w:r>
          </w:p>
        </w:tc>
        <w:tc>
          <w:tcPr>
            <w:tcW w:w="3680" w:type="dxa"/>
            <w:tcBorders>
              <w:top w:val="nil"/>
              <w:left w:val="nil"/>
              <w:bottom w:val="nil"/>
              <w:right w:val="nil"/>
            </w:tcBorders>
            <w:shd w:val="clear" w:color="auto" w:fill="auto"/>
            <w:vAlign w:val="center"/>
            <w:hideMark/>
          </w:tcPr>
          <w:p w14:paraId="72815C0E"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Parkinson’s disease</w:t>
            </w:r>
          </w:p>
        </w:tc>
        <w:tc>
          <w:tcPr>
            <w:tcW w:w="4340" w:type="dxa"/>
            <w:tcBorders>
              <w:top w:val="nil"/>
              <w:left w:val="nil"/>
              <w:bottom w:val="nil"/>
              <w:right w:val="nil"/>
            </w:tcBorders>
            <w:shd w:val="clear" w:color="auto" w:fill="auto"/>
            <w:vAlign w:val="center"/>
            <w:hideMark/>
          </w:tcPr>
          <w:p w14:paraId="67B56FB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G20*, G21*</w:t>
            </w:r>
          </w:p>
        </w:tc>
      </w:tr>
      <w:tr w:rsidR="00706075" w:rsidRPr="00706075" w14:paraId="242C44D4" w14:textId="77777777" w:rsidTr="00706075">
        <w:trPr>
          <w:trHeight w:val="288"/>
        </w:trPr>
        <w:tc>
          <w:tcPr>
            <w:tcW w:w="980" w:type="dxa"/>
            <w:tcBorders>
              <w:top w:val="nil"/>
              <w:left w:val="nil"/>
              <w:bottom w:val="nil"/>
              <w:right w:val="nil"/>
            </w:tcBorders>
            <w:shd w:val="clear" w:color="000000" w:fill="E7E6E6"/>
            <w:vAlign w:val="center"/>
            <w:hideMark/>
          </w:tcPr>
          <w:p w14:paraId="1BC39556"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22</w:t>
            </w:r>
          </w:p>
        </w:tc>
        <w:tc>
          <w:tcPr>
            <w:tcW w:w="3680" w:type="dxa"/>
            <w:tcBorders>
              <w:top w:val="nil"/>
              <w:left w:val="nil"/>
              <w:bottom w:val="nil"/>
              <w:right w:val="nil"/>
            </w:tcBorders>
            <w:shd w:val="clear" w:color="000000" w:fill="E7E6E6"/>
            <w:vAlign w:val="center"/>
            <w:hideMark/>
          </w:tcPr>
          <w:p w14:paraId="3944D58A"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Alzheimer’s disease</w:t>
            </w:r>
          </w:p>
        </w:tc>
        <w:tc>
          <w:tcPr>
            <w:tcW w:w="4340" w:type="dxa"/>
            <w:tcBorders>
              <w:top w:val="nil"/>
              <w:left w:val="nil"/>
              <w:bottom w:val="nil"/>
              <w:right w:val="nil"/>
            </w:tcBorders>
            <w:shd w:val="clear" w:color="000000" w:fill="E7E6E6"/>
            <w:vAlign w:val="center"/>
            <w:hideMark/>
          </w:tcPr>
          <w:p w14:paraId="20C0EC0C"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G30*</w:t>
            </w:r>
          </w:p>
        </w:tc>
      </w:tr>
      <w:tr w:rsidR="00706075" w:rsidRPr="00706075" w14:paraId="05A936B1" w14:textId="77777777" w:rsidTr="00706075">
        <w:trPr>
          <w:trHeight w:val="288"/>
        </w:trPr>
        <w:tc>
          <w:tcPr>
            <w:tcW w:w="980" w:type="dxa"/>
            <w:tcBorders>
              <w:top w:val="nil"/>
              <w:left w:val="nil"/>
              <w:bottom w:val="nil"/>
              <w:right w:val="nil"/>
            </w:tcBorders>
            <w:shd w:val="clear" w:color="auto" w:fill="auto"/>
            <w:vAlign w:val="center"/>
            <w:hideMark/>
          </w:tcPr>
          <w:p w14:paraId="515942E5"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23</w:t>
            </w:r>
          </w:p>
        </w:tc>
        <w:tc>
          <w:tcPr>
            <w:tcW w:w="3680" w:type="dxa"/>
            <w:tcBorders>
              <w:top w:val="nil"/>
              <w:left w:val="nil"/>
              <w:bottom w:val="nil"/>
              <w:right w:val="nil"/>
            </w:tcBorders>
            <w:shd w:val="clear" w:color="auto" w:fill="auto"/>
            <w:vAlign w:val="center"/>
            <w:hideMark/>
          </w:tcPr>
          <w:p w14:paraId="686828C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Diseases of heart</w:t>
            </w:r>
          </w:p>
        </w:tc>
        <w:tc>
          <w:tcPr>
            <w:tcW w:w="4340" w:type="dxa"/>
            <w:tcBorders>
              <w:top w:val="nil"/>
              <w:left w:val="nil"/>
              <w:bottom w:val="nil"/>
              <w:right w:val="nil"/>
            </w:tcBorders>
            <w:shd w:val="clear" w:color="auto" w:fill="auto"/>
            <w:vAlign w:val="center"/>
            <w:hideMark/>
          </w:tcPr>
          <w:p w14:paraId="7EF12F1C"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I3*, I4*</w:t>
            </w:r>
          </w:p>
        </w:tc>
      </w:tr>
      <w:tr w:rsidR="00706075" w:rsidRPr="00706075" w14:paraId="2696FE07" w14:textId="77777777" w:rsidTr="00706075">
        <w:trPr>
          <w:trHeight w:val="588"/>
        </w:trPr>
        <w:tc>
          <w:tcPr>
            <w:tcW w:w="980" w:type="dxa"/>
            <w:tcBorders>
              <w:top w:val="nil"/>
              <w:left w:val="nil"/>
              <w:bottom w:val="nil"/>
              <w:right w:val="nil"/>
            </w:tcBorders>
            <w:shd w:val="clear" w:color="000000" w:fill="E7E6E6"/>
            <w:vAlign w:val="center"/>
            <w:hideMark/>
          </w:tcPr>
          <w:p w14:paraId="47A3DEF8"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23</w:t>
            </w:r>
          </w:p>
        </w:tc>
        <w:tc>
          <w:tcPr>
            <w:tcW w:w="3680" w:type="dxa"/>
            <w:tcBorders>
              <w:top w:val="nil"/>
              <w:left w:val="nil"/>
              <w:bottom w:val="nil"/>
              <w:right w:val="nil"/>
            </w:tcBorders>
            <w:shd w:val="clear" w:color="000000" w:fill="E7E6E6"/>
            <w:vAlign w:val="center"/>
            <w:hideMark/>
          </w:tcPr>
          <w:p w14:paraId="74ADB28C"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Diseases of heart</w:t>
            </w:r>
          </w:p>
        </w:tc>
        <w:tc>
          <w:tcPr>
            <w:tcW w:w="4340" w:type="dxa"/>
            <w:tcBorders>
              <w:top w:val="nil"/>
              <w:left w:val="nil"/>
              <w:bottom w:val="nil"/>
              <w:right w:val="nil"/>
            </w:tcBorders>
            <w:shd w:val="clear" w:color="000000" w:fill="E7E6E6"/>
            <w:vAlign w:val="center"/>
            <w:hideMark/>
          </w:tcPr>
          <w:p w14:paraId="46A798A0"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I01*, I05*-I09*, I11*, I13*, I20*- I28*, I50*- I52*</w:t>
            </w:r>
          </w:p>
        </w:tc>
      </w:tr>
    </w:tbl>
    <w:p w14:paraId="39247BCD" w14:textId="484DA558" w:rsidR="00112E69" w:rsidRPr="00903B92" w:rsidRDefault="00112E69" w:rsidP="00103E31">
      <w:pPr>
        <w:pStyle w:val="NoSpacing"/>
        <w:rPr>
          <w:rFonts w:ascii="Tahoma" w:hAnsi="Tahoma" w:cs="Tahoma"/>
        </w:rPr>
      </w:pPr>
    </w:p>
    <w:p w14:paraId="41E1B0A8" w14:textId="0A42E305" w:rsidR="00634B74" w:rsidRPr="00903B92" w:rsidRDefault="00694DBB" w:rsidP="00694DBB">
      <w:pPr>
        <w:rPr>
          <w:rFonts w:ascii="Tahoma" w:hAnsi="Tahoma" w:cs="Tahoma"/>
        </w:rPr>
      </w:pPr>
      <w:r w:rsidRPr="00903B92">
        <w:rPr>
          <w:rFonts w:ascii="Tahoma" w:hAnsi="Tahoma" w:cs="Tahoma"/>
        </w:rPr>
        <w:br w:type="page"/>
      </w:r>
    </w:p>
    <w:tbl>
      <w:tblPr>
        <w:tblW w:w="5000" w:type="pct"/>
        <w:tblLook w:val="04A0" w:firstRow="1" w:lastRow="0" w:firstColumn="1" w:lastColumn="0" w:noHBand="0" w:noVBand="1"/>
      </w:tblPr>
      <w:tblGrid>
        <w:gridCol w:w="1019"/>
        <w:gridCol w:w="3826"/>
        <w:gridCol w:w="4515"/>
      </w:tblGrid>
      <w:tr w:rsidR="00706075" w:rsidRPr="00706075" w14:paraId="4B669BBC" w14:textId="77777777" w:rsidTr="00694DBB">
        <w:trPr>
          <w:trHeight w:val="300"/>
        </w:trPr>
        <w:tc>
          <w:tcPr>
            <w:tcW w:w="5000" w:type="pct"/>
            <w:gridSpan w:val="3"/>
            <w:tcBorders>
              <w:top w:val="single" w:sz="8" w:space="0" w:color="auto"/>
              <w:left w:val="nil"/>
              <w:bottom w:val="single" w:sz="8" w:space="0" w:color="auto"/>
              <w:right w:val="nil"/>
            </w:tcBorders>
            <w:shd w:val="clear" w:color="auto" w:fill="auto"/>
            <w:vAlign w:val="center"/>
            <w:hideMark/>
          </w:tcPr>
          <w:p w14:paraId="525614BE" w14:textId="77777777" w:rsidR="00706075" w:rsidRPr="00706075" w:rsidRDefault="00706075" w:rsidP="00706075">
            <w:pPr>
              <w:spacing w:after="0" w:line="240" w:lineRule="auto"/>
              <w:rPr>
                <w:rFonts w:ascii="Tahoma" w:eastAsia="Times New Roman" w:hAnsi="Tahoma" w:cs="Tahoma"/>
                <w:b/>
                <w:bCs/>
                <w:color w:val="000000"/>
              </w:rPr>
            </w:pPr>
            <w:r w:rsidRPr="00706075">
              <w:rPr>
                <w:rFonts w:ascii="Tahoma" w:eastAsia="Times New Roman" w:hAnsi="Tahoma" w:cs="Tahoma"/>
                <w:b/>
                <w:bCs/>
                <w:color w:val="000000"/>
              </w:rPr>
              <w:lastRenderedPageBreak/>
              <w:t>Table 2. Causes of Death and ICD-10 Classifications, 2018-2023 cont.</w:t>
            </w:r>
          </w:p>
        </w:tc>
      </w:tr>
      <w:tr w:rsidR="00706075" w:rsidRPr="00706075" w14:paraId="26BF131C" w14:textId="77777777" w:rsidTr="00694DBB">
        <w:trPr>
          <w:trHeight w:val="588"/>
        </w:trPr>
        <w:tc>
          <w:tcPr>
            <w:tcW w:w="544" w:type="pct"/>
            <w:tcBorders>
              <w:top w:val="nil"/>
              <w:left w:val="nil"/>
              <w:bottom w:val="single" w:sz="8" w:space="0" w:color="auto"/>
              <w:right w:val="nil"/>
            </w:tcBorders>
            <w:shd w:val="clear" w:color="auto" w:fill="auto"/>
            <w:vAlign w:val="center"/>
            <w:hideMark/>
          </w:tcPr>
          <w:p w14:paraId="3A71458D" w14:textId="77777777" w:rsidR="00706075" w:rsidRPr="00706075" w:rsidRDefault="00706075" w:rsidP="00706075">
            <w:pPr>
              <w:spacing w:after="0" w:line="240" w:lineRule="auto"/>
              <w:jc w:val="center"/>
              <w:rPr>
                <w:rFonts w:ascii="Tahoma" w:eastAsia="Times New Roman" w:hAnsi="Tahoma" w:cs="Tahoma"/>
                <w:b/>
                <w:bCs/>
                <w:color w:val="000000"/>
              </w:rPr>
            </w:pPr>
            <w:r w:rsidRPr="00706075">
              <w:rPr>
                <w:rFonts w:ascii="Tahoma" w:eastAsia="Times New Roman" w:hAnsi="Tahoma" w:cs="Tahoma"/>
                <w:b/>
                <w:bCs/>
                <w:color w:val="000000"/>
              </w:rPr>
              <w:t>CAUSE CODE</w:t>
            </w:r>
          </w:p>
        </w:tc>
        <w:tc>
          <w:tcPr>
            <w:tcW w:w="2044" w:type="pct"/>
            <w:tcBorders>
              <w:top w:val="nil"/>
              <w:left w:val="nil"/>
              <w:bottom w:val="single" w:sz="8" w:space="0" w:color="auto"/>
              <w:right w:val="nil"/>
            </w:tcBorders>
            <w:shd w:val="clear" w:color="auto" w:fill="auto"/>
            <w:vAlign w:val="center"/>
            <w:hideMark/>
          </w:tcPr>
          <w:p w14:paraId="26860C4A" w14:textId="77777777" w:rsidR="00706075" w:rsidRPr="00706075" w:rsidRDefault="00706075" w:rsidP="00706075">
            <w:pPr>
              <w:spacing w:after="0" w:line="240" w:lineRule="auto"/>
              <w:rPr>
                <w:rFonts w:ascii="Tahoma" w:eastAsia="Times New Roman" w:hAnsi="Tahoma" w:cs="Tahoma"/>
                <w:b/>
                <w:bCs/>
                <w:color w:val="000000"/>
              </w:rPr>
            </w:pPr>
            <w:r w:rsidRPr="00706075">
              <w:rPr>
                <w:rFonts w:ascii="Tahoma" w:eastAsia="Times New Roman" w:hAnsi="Tahoma" w:cs="Tahoma"/>
                <w:b/>
                <w:bCs/>
                <w:color w:val="000000"/>
              </w:rPr>
              <w:t>CAUSE OF DEATH</w:t>
            </w:r>
          </w:p>
        </w:tc>
        <w:tc>
          <w:tcPr>
            <w:tcW w:w="2411" w:type="pct"/>
            <w:tcBorders>
              <w:top w:val="nil"/>
              <w:left w:val="nil"/>
              <w:bottom w:val="single" w:sz="8" w:space="0" w:color="auto"/>
              <w:right w:val="nil"/>
            </w:tcBorders>
            <w:shd w:val="clear" w:color="auto" w:fill="auto"/>
            <w:vAlign w:val="center"/>
            <w:hideMark/>
          </w:tcPr>
          <w:p w14:paraId="7F923318" w14:textId="77777777" w:rsidR="00706075" w:rsidRPr="00706075" w:rsidRDefault="00706075" w:rsidP="00706075">
            <w:pPr>
              <w:spacing w:after="0" w:line="240" w:lineRule="auto"/>
              <w:rPr>
                <w:rFonts w:ascii="Tahoma" w:eastAsia="Times New Roman" w:hAnsi="Tahoma" w:cs="Tahoma"/>
                <w:b/>
                <w:bCs/>
                <w:color w:val="000000"/>
              </w:rPr>
            </w:pPr>
            <w:r w:rsidRPr="00706075">
              <w:rPr>
                <w:rFonts w:ascii="Tahoma" w:eastAsia="Times New Roman" w:hAnsi="Tahoma" w:cs="Tahoma"/>
                <w:b/>
                <w:bCs/>
                <w:color w:val="000000"/>
              </w:rPr>
              <w:t>ICD-10 CODES</w:t>
            </w:r>
          </w:p>
        </w:tc>
      </w:tr>
      <w:tr w:rsidR="00706075" w:rsidRPr="00706075" w14:paraId="4E457645" w14:textId="77777777" w:rsidTr="00694DBB">
        <w:trPr>
          <w:trHeight w:val="576"/>
        </w:trPr>
        <w:tc>
          <w:tcPr>
            <w:tcW w:w="544" w:type="pct"/>
            <w:tcBorders>
              <w:top w:val="nil"/>
              <w:left w:val="nil"/>
              <w:bottom w:val="nil"/>
              <w:right w:val="nil"/>
            </w:tcBorders>
            <w:shd w:val="clear" w:color="000000" w:fill="E7E6E6"/>
            <w:vAlign w:val="center"/>
            <w:hideMark/>
          </w:tcPr>
          <w:p w14:paraId="0B4CE886"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24</w:t>
            </w:r>
          </w:p>
        </w:tc>
        <w:tc>
          <w:tcPr>
            <w:tcW w:w="2044" w:type="pct"/>
            <w:tcBorders>
              <w:top w:val="nil"/>
              <w:left w:val="nil"/>
              <w:bottom w:val="nil"/>
              <w:right w:val="nil"/>
            </w:tcBorders>
            <w:shd w:val="clear" w:color="000000" w:fill="E7E6E6"/>
            <w:vAlign w:val="center"/>
            <w:hideMark/>
          </w:tcPr>
          <w:p w14:paraId="20811DDF"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Essential (primary) hypertension and hypertensive renal disease</w:t>
            </w:r>
          </w:p>
        </w:tc>
        <w:tc>
          <w:tcPr>
            <w:tcW w:w="2411" w:type="pct"/>
            <w:tcBorders>
              <w:top w:val="nil"/>
              <w:left w:val="nil"/>
              <w:bottom w:val="nil"/>
              <w:right w:val="nil"/>
            </w:tcBorders>
            <w:shd w:val="clear" w:color="000000" w:fill="E7E6E6"/>
            <w:vAlign w:val="center"/>
            <w:hideMark/>
          </w:tcPr>
          <w:p w14:paraId="1463A88A"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I10*, I12*, I15*</w:t>
            </w:r>
          </w:p>
        </w:tc>
      </w:tr>
      <w:tr w:rsidR="00706075" w:rsidRPr="00706075" w14:paraId="762B786A" w14:textId="77777777" w:rsidTr="00694DBB">
        <w:trPr>
          <w:trHeight w:val="288"/>
        </w:trPr>
        <w:tc>
          <w:tcPr>
            <w:tcW w:w="544" w:type="pct"/>
            <w:tcBorders>
              <w:top w:val="nil"/>
              <w:left w:val="nil"/>
              <w:bottom w:val="nil"/>
              <w:right w:val="nil"/>
            </w:tcBorders>
            <w:shd w:val="clear" w:color="auto" w:fill="auto"/>
            <w:vAlign w:val="center"/>
            <w:hideMark/>
          </w:tcPr>
          <w:p w14:paraId="59D7217D"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25</w:t>
            </w:r>
          </w:p>
        </w:tc>
        <w:tc>
          <w:tcPr>
            <w:tcW w:w="2044" w:type="pct"/>
            <w:tcBorders>
              <w:top w:val="nil"/>
              <w:left w:val="nil"/>
              <w:bottom w:val="nil"/>
              <w:right w:val="nil"/>
            </w:tcBorders>
            <w:shd w:val="clear" w:color="auto" w:fill="auto"/>
            <w:vAlign w:val="center"/>
            <w:hideMark/>
          </w:tcPr>
          <w:p w14:paraId="2D2C8BE2"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Cerebrovascular diseases</w:t>
            </w:r>
          </w:p>
        </w:tc>
        <w:tc>
          <w:tcPr>
            <w:tcW w:w="2411" w:type="pct"/>
            <w:tcBorders>
              <w:top w:val="nil"/>
              <w:left w:val="nil"/>
              <w:bottom w:val="nil"/>
              <w:right w:val="nil"/>
            </w:tcBorders>
            <w:shd w:val="clear" w:color="auto" w:fill="auto"/>
            <w:vAlign w:val="center"/>
            <w:hideMark/>
          </w:tcPr>
          <w:p w14:paraId="20FF1DEB"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I6*</w:t>
            </w:r>
          </w:p>
        </w:tc>
      </w:tr>
      <w:tr w:rsidR="00706075" w:rsidRPr="00706075" w14:paraId="57A6CD20" w14:textId="77777777" w:rsidTr="00694DBB">
        <w:trPr>
          <w:trHeight w:val="288"/>
        </w:trPr>
        <w:tc>
          <w:tcPr>
            <w:tcW w:w="544" w:type="pct"/>
            <w:tcBorders>
              <w:top w:val="nil"/>
              <w:left w:val="nil"/>
              <w:bottom w:val="nil"/>
              <w:right w:val="nil"/>
            </w:tcBorders>
            <w:shd w:val="clear" w:color="000000" w:fill="E7E6E6"/>
            <w:vAlign w:val="center"/>
            <w:hideMark/>
          </w:tcPr>
          <w:p w14:paraId="7CB7759D"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26</w:t>
            </w:r>
          </w:p>
        </w:tc>
        <w:tc>
          <w:tcPr>
            <w:tcW w:w="2044" w:type="pct"/>
            <w:tcBorders>
              <w:top w:val="nil"/>
              <w:left w:val="nil"/>
              <w:bottom w:val="nil"/>
              <w:right w:val="nil"/>
            </w:tcBorders>
            <w:shd w:val="clear" w:color="000000" w:fill="E7E6E6"/>
            <w:vAlign w:val="center"/>
            <w:hideMark/>
          </w:tcPr>
          <w:p w14:paraId="2527F2A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Atherosclerosis</w:t>
            </w:r>
          </w:p>
        </w:tc>
        <w:tc>
          <w:tcPr>
            <w:tcW w:w="2411" w:type="pct"/>
            <w:tcBorders>
              <w:top w:val="nil"/>
              <w:left w:val="nil"/>
              <w:bottom w:val="nil"/>
              <w:right w:val="nil"/>
            </w:tcBorders>
            <w:shd w:val="clear" w:color="000000" w:fill="E7E6E6"/>
            <w:vAlign w:val="center"/>
            <w:hideMark/>
          </w:tcPr>
          <w:p w14:paraId="0895032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I70*</w:t>
            </w:r>
          </w:p>
        </w:tc>
      </w:tr>
      <w:tr w:rsidR="00706075" w:rsidRPr="00706075" w14:paraId="082C7CB4" w14:textId="77777777" w:rsidTr="00694DBB">
        <w:trPr>
          <w:trHeight w:val="288"/>
        </w:trPr>
        <w:tc>
          <w:tcPr>
            <w:tcW w:w="544" w:type="pct"/>
            <w:tcBorders>
              <w:top w:val="nil"/>
              <w:left w:val="nil"/>
              <w:bottom w:val="nil"/>
              <w:right w:val="nil"/>
            </w:tcBorders>
            <w:shd w:val="clear" w:color="auto" w:fill="auto"/>
            <w:vAlign w:val="center"/>
            <w:hideMark/>
          </w:tcPr>
          <w:p w14:paraId="35183C49"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27</w:t>
            </w:r>
          </w:p>
        </w:tc>
        <w:tc>
          <w:tcPr>
            <w:tcW w:w="2044" w:type="pct"/>
            <w:tcBorders>
              <w:top w:val="nil"/>
              <w:left w:val="nil"/>
              <w:bottom w:val="nil"/>
              <w:right w:val="nil"/>
            </w:tcBorders>
            <w:shd w:val="clear" w:color="auto" w:fill="auto"/>
            <w:vAlign w:val="center"/>
            <w:hideMark/>
          </w:tcPr>
          <w:p w14:paraId="7DCD996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Aortic aneurysm and dissection</w:t>
            </w:r>
          </w:p>
        </w:tc>
        <w:tc>
          <w:tcPr>
            <w:tcW w:w="2411" w:type="pct"/>
            <w:tcBorders>
              <w:top w:val="nil"/>
              <w:left w:val="nil"/>
              <w:bottom w:val="nil"/>
              <w:right w:val="nil"/>
            </w:tcBorders>
            <w:shd w:val="clear" w:color="auto" w:fill="auto"/>
            <w:vAlign w:val="center"/>
            <w:hideMark/>
          </w:tcPr>
          <w:p w14:paraId="5383F3CA"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I71*</w:t>
            </w:r>
          </w:p>
        </w:tc>
      </w:tr>
      <w:tr w:rsidR="00706075" w:rsidRPr="00706075" w14:paraId="29D114EF" w14:textId="77777777" w:rsidTr="00694DBB">
        <w:trPr>
          <w:trHeight w:val="288"/>
        </w:trPr>
        <w:tc>
          <w:tcPr>
            <w:tcW w:w="544" w:type="pct"/>
            <w:tcBorders>
              <w:top w:val="nil"/>
              <w:left w:val="nil"/>
              <w:bottom w:val="nil"/>
              <w:right w:val="nil"/>
            </w:tcBorders>
            <w:shd w:val="clear" w:color="000000" w:fill="E7E6E6"/>
            <w:vAlign w:val="center"/>
            <w:hideMark/>
          </w:tcPr>
          <w:p w14:paraId="2DB8C395"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28</w:t>
            </w:r>
          </w:p>
        </w:tc>
        <w:tc>
          <w:tcPr>
            <w:tcW w:w="2044" w:type="pct"/>
            <w:tcBorders>
              <w:top w:val="nil"/>
              <w:left w:val="nil"/>
              <w:bottom w:val="nil"/>
              <w:right w:val="nil"/>
            </w:tcBorders>
            <w:shd w:val="clear" w:color="000000" w:fill="E7E6E6"/>
            <w:vAlign w:val="center"/>
            <w:hideMark/>
          </w:tcPr>
          <w:p w14:paraId="2433FBD4"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Influenza and pneumonia</w:t>
            </w:r>
          </w:p>
        </w:tc>
        <w:tc>
          <w:tcPr>
            <w:tcW w:w="2411" w:type="pct"/>
            <w:tcBorders>
              <w:top w:val="nil"/>
              <w:left w:val="nil"/>
              <w:bottom w:val="nil"/>
              <w:right w:val="nil"/>
            </w:tcBorders>
            <w:shd w:val="clear" w:color="000000" w:fill="E7E6E6"/>
            <w:vAlign w:val="center"/>
            <w:hideMark/>
          </w:tcPr>
          <w:p w14:paraId="7950BF8A"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J09*- J18*</w:t>
            </w:r>
          </w:p>
        </w:tc>
      </w:tr>
      <w:tr w:rsidR="00706075" w:rsidRPr="00706075" w14:paraId="0931C1D4" w14:textId="77777777" w:rsidTr="00694DBB">
        <w:trPr>
          <w:trHeight w:val="288"/>
        </w:trPr>
        <w:tc>
          <w:tcPr>
            <w:tcW w:w="544" w:type="pct"/>
            <w:tcBorders>
              <w:top w:val="nil"/>
              <w:left w:val="nil"/>
              <w:bottom w:val="nil"/>
              <w:right w:val="nil"/>
            </w:tcBorders>
            <w:shd w:val="clear" w:color="auto" w:fill="auto"/>
            <w:vAlign w:val="center"/>
            <w:hideMark/>
          </w:tcPr>
          <w:p w14:paraId="551CDBC8"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29</w:t>
            </w:r>
          </w:p>
        </w:tc>
        <w:tc>
          <w:tcPr>
            <w:tcW w:w="2044" w:type="pct"/>
            <w:tcBorders>
              <w:top w:val="nil"/>
              <w:left w:val="nil"/>
              <w:bottom w:val="nil"/>
              <w:right w:val="nil"/>
            </w:tcBorders>
            <w:shd w:val="clear" w:color="auto" w:fill="auto"/>
            <w:vAlign w:val="center"/>
            <w:hideMark/>
          </w:tcPr>
          <w:p w14:paraId="4F28620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Acute bronchitis and bronchiolitis</w:t>
            </w:r>
          </w:p>
        </w:tc>
        <w:tc>
          <w:tcPr>
            <w:tcW w:w="2411" w:type="pct"/>
            <w:tcBorders>
              <w:top w:val="nil"/>
              <w:left w:val="nil"/>
              <w:bottom w:val="nil"/>
              <w:right w:val="nil"/>
            </w:tcBorders>
            <w:shd w:val="clear" w:color="auto" w:fill="auto"/>
            <w:vAlign w:val="center"/>
            <w:hideMark/>
          </w:tcPr>
          <w:p w14:paraId="5B4535E7"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J20*, J21*</w:t>
            </w:r>
          </w:p>
        </w:tc>
      </w:tr>
      <w:tr w:rsidR="00706075" w:rsidRPr="00706075" w14:paraId="6E87FEBA" w14:textId="77777777" w:rsidTr="00694DBB">
        <w:trPr>
          <w:trHeight w:val="288"/>
        </w:trPr>
        <w:tc>
          <w:tcPr>
            <w:tcW w:w="544" w:type="pct"/>
            <w:tcBorders>
              <w:top w:val="nil"/>
              <w:left w:val="nil"/>
              <w:bottom w:val="nil"/>
              <w:right w:val="nil"/>
            </w:tcBorders>
            <w:shd w:val="clear" w:color="000000" w:fill="E7E6E6"/>
            <w:vAlign w:val="center"/>
            <w:hideMark/>
          </w:tcPr>
          <w:p w14:paraId="54E58C80"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30</w:t>
            </w:r>
          </w:p>
        </w:tc>
        <w:tc>
          <w:tcPr>
            <w:tcW w:w="2044" w:type="pct"/>
            <w:tcBorders>
              <w:top w:val="nil"/>
              <w:left w:val="nil"/>
              <w:bottom w:val="nil"/>
              <w:right w:val="nil"/>
            </w:tcBorders>
            <w:shd w:val="clear" w:color="000000" w:fill="E7E6E6"/>
            <w:vAlign w:val="center"/>
            <w:hideMark/>
          </w:tcPr>
          <w:p w14:paraId="054BE3F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Chronic lower respiratory diseases</w:t>
            </w:r>
          </w:p>
        </w:tc>
        <w:tc>
          <w:tcPr>
            <w:tcW w:w="2411" w:type="pct"/>
            <w:tcBorders>
              <w:top w:val="nil"/>
              <w:left w:val="nil"/>
              <w:bottom w:val="nil"/>
              <w:right w:val="nil"/>
            </w:tcBorders>
            <w:shd w:val="clear" w:color="000000" w:fill="E7E6E6"/>
            <w:vAlign w:val="center"/>
            <w:hideMark/>
          </w:tcPr>
          <w:p w14:paraId="4B754FEC"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J40*- J47*</w:t>
            </w:r>
          </w:p>
        </w:tc>
      </w:tr>
      <w:tr w:rsidR="00706075" w:rsidRPr="00706075" w14:paraId="55D78DBB" w14:textId="77777777" w:rsidTr="00694DBB">
        <w:trPr>
          <w:trHeight w:val="576"/>
        </w:trPr>
        <w:tc>
          <w:tcPr>
            <w:tcW w:w="544" w:type="pct"/>
            <w:tcBorders>
              <w:top w:val="nil"/>
              <w:left w:val="nil"/>
              <w:bottom w:val="nil"/>
              <w:right w:val="nil"/>
            </w:tcBorders>
            <w:shd w:val="clear" w:color="auto" w:fill="auto"/>
            <w:vAlign w:val="center"/>
            <w:hideMark/>
          </w:tcPr>
          <w:p w14:paraId="72441848"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31</w:t>
            </w:r>
          </w:p>
        </w:tc>
        <w:tc>
          <w:tcPr>
            <w:tcW w:w="2044" w:type="pct"/>
            <w:tcBorders>
              <w:top w:val="nil"/>
              <w:left w:val="nil"/>
              <w:bottom w:val="nil"/>
              <w:right w:val="nil"/>
            </w:tcBorders>
            <w:shd w:val="clear" w:color="auto" w:fill="auto"/>
            <w:vAlign w:val="center"/>
            <w:hideMark/>
          </w:tcPr>
          <w:p w14:paraId="396485F5" w14:textId="77777777" w:rsidR="00706075" w:rsidRPr="00706075" w:rsidRDefault="00706075" w:rsidP="00706075">
            <w:pPr>
              <w:spacing w:after="0" w:line="240" w:lineRule="auto"/>
              <w:rPr>
                <w:rFonts w:ascii="Tahoma" w:eastAsia="Times New Roman" w:hAnsi="Tahoma" w:cs="Tahoma"/>
                <w:color w:val="000000"/>
              </w:rPr>
            </w:pPr>
            <w:proofErr w:type="spellStart"/>
            <w:r w:rsidRPr="00706075">
              <w:rPr>
                <w:rFonts w:ascii="Tahoma" w:eastAsia="Times New Roman" w:hAnsi="Tahoma" w:cs="Tahoma"/>
                <w:color w:val="000000"/>
              </w:rPr>
              <w:t>Pneumoconioses</w:t>
            </w:r>
            <w:proofErr w:type="spellEnd"/>
            <w:r w:rsidRPr="00706075">
              <w:rPr>
                <w:rFonts w:ascii="Tahoma" w:eastAsia="Times New Roman" w:hAnsi="Tahoma" w:cs="Tahoma"/>
                <w:color w:val="000000"/>
              </w:rPr>
              <w:t xml:space="preserve"> and chemical effects</w:t>
            </w:r>
          </w:p>
        </w:tc>
        <w:tc>
          <w:tcPr>
            <w:tcW w:w="2411" w:type="pct"/>
            <w:tcBorders>
              <w:top w:val="nil"/>
              <w:left w:val="nil"/>
              <w:bottom w:val="nil"/>
              <w:right w:val="nil"/>
            </w:tcBorders>
            <w:shd w:val="clear" w:color="auto" w:fill="auto"/>
            <w:vAlign w:val="center"/>
            <w:hideMark/>
          </w:tcPr>
          <w:p w14:paraId="6073CEF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J60*-J66*, J68*</w:t>
            </w:r>
          </w:p>
        </w:tc>
      </w:tr>
      <w:tr w:rsidR="00706075" w:rsidRPr="00706075" w14:paraId="56A4CD8D" w14:textId="77777777" w:rsidTr="00694DBB">
        <w:trPr>
          <w:trHeight w:val="576"/>
        </w:trPr>
        <w:tc>
          <w:tcPr>
            <w:tcW w:w="544" w:type="pct"/>
            <w:tcBorders>
              <w:top w:val="nil"/>
              <w:left w:val="nil"/>
              <w:bottom w:val="nil"/>
              <w:right w:val="nil"/>
            </w:tcBorders>
            <w:shd w:val="clear" w:color="000000" w:fill="E7E6E6"/>
            <w:vAlign w:val="center"/>
            <w:hideMark/>
          </w:tcPr>
          <w:p w14:paraId="49651B05"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32</w:t>
            </w:r>
          </w:p>
        </w:tc>
        <w:tc>
          <w:tcPr>
            <w:tcW w:w="2044" w:type="pct"/>
            <w:tcBorders>
              <w:top w:val="nil"/>
              <w:left w:val="nil"/>
              <w:bottom w:val="nil"/>
              <w:right w:val="nil"/>
            </w:tcBorders>
            <w:shd w:val="clear" w:color="000000" w:fill="E7E6E6"/>
            <w:vAlign w:val="center"/>
            <w:hideMark/>
          </w:tcPr>
          <w:p w14:paraId="46CA71B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Pneumonitis due to solids and liquids</w:t>
            </w:r>
          </w:p>
        </w:tc>
        <w:tc>
          <w:tcPr>
            <w:tcW w:w="2411" w:type="pct"/>
            <w:tcBorders>
              <w:top w:val="nil"/>
              <w:left w:val="nil"/>
              <w:bottom w:val="nil"/>
              <w:right w:val="nil"/>
            </w:tcBorders>
            <w:shd w:val="clear" w:color="000000" w:fill="E7E6E6"/>
            <w:vAlign w:val="center"/>
            <w:hideMark/>
          </w:tcPr>
          <w:p w14:paraId="5F79970E"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J69*</w:t>
            </w:r>
          </w:p>
        </w:tc>
      </w:tr>
      <w:tr w:rsidR="00706075" w:rsidRPr="00706075" w14:paraId="76B69357" w14:textId="77777777" w:rsidTr="00694DBB">
        <w:trPr>
          <w:trHeight w:val="288"/>
        </w:trPr>
        <w:tc>
          <w:tcPr>
            <w:tcW w:w="544" w:type="pct"/>
            <w:tcBorders>
              <w:top w:val="nil"/>
              <w:left w:val="nil"/>
              <w:bottom w:val="nil"/>
              <w:right w:val="nil"/>
            </w:tcBorders>
            <w:shd w:val="clear" w:color="auto" w:fill="auto"/>
            <w:vAlign w:val="center"/>
            <w:hideMark/>
          </w:tcPr>
          <w:p w14:paraId="0B6E6F6B"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33</w:t>
            </w:r>
          </w:p>
        </w:tc>
        <w:tc>
          <w:tcPr>
            <w:tcW w:w="2044" w:type="pct"/>
            <w:tcBorders>
              <w:top w:val="nil"/>
              <w:left w:val="nil"/>
              <w:bottom w:val="nil"/>
              <w:right w:val="nil"/>
            </w:tcBorders>
            <w:shd w:val="clear" w:color="auto" w:fill="auto"/>
            <w:vAlign w:val="center"/>
            <w:hideMark/>
          </w:tcPr>
          <w:p w14:paraId="26B52381"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Peptic ulcer</w:t>
            </w:r>
          </w:p>
        </w:tc>
        <w:tc>
          <w:tcPr>
            <w:tcW w:w="2411" w:type="pct"/>
            <w:tcBorders>
              <w:top w:val="nil"/>
              <w:left w:val="nil"/>
              <w:bottom w:val="nil"/>
              <w:right w:val="nil"/>
            </w:tcBorders>
            <w:shd w:val="clear" w:color="auto" w:fill="auto"/>
            <w:vAlign w:val="center"/>
            <w:hideMark/>
          </w:tcPr>
          <w:p w14:paraId="0E1FD83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K25*- K28*</w:t>
            </w:r>
          </w:p>
        </w:tc>
      </w:tr>
      <w:tr w:rsidR="00706075" w:rsidRPr="00706075" w14:paraId="384B2B61" w14:textId="77777777" w:rsidTr="00694DBB">
        <w:trPr>
          <w:trHeight w:val="288"/>
        </w:trPr>
        <w:tc>
          <w:tcPr>
            <w:tcW w:w="544" w:type="pct"/>
            <w:tcBorders>
              <w:top w:val="nil"/>
              <w:left w:val="nil"/>
              <w:bottom w:val="nil"/>
              <w:right w:val="nil"/>
            </w:tcBorders>
            <w:shd w:val="clear" w:color="000000" w:fill="E7E6E6"/>
            <w:vAlign w:val="center"/>
            <w:hideMark/>
          </w:tcPr>
          <w:p w14:paraId="553F56E2"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34</w:t>
            </w:r>
          </w:p>
        </w:tc>
        <w:tc>
          <w:tcPr>
            <w:tcW w:w="2044" w:type="pct"/>
            <w:tcBorders>
              <w:top w:val="nil"/>
              <w:left w:val="nil"/>
              <w:bottom w:val="nil"/>
              <w:right w:val="nil"/>
            </w:tcBorders>
            <w:shd w:val="clear" w:color="000000" w:fill="E7E6E6"/>
            <w:vAlign w:val="center"/>
            <w:hideMark/>
          </w:tcPr>
          <w:p w14:paraId="79F4F3B1"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Diseases of appendix</w:t>
            </w:r>
          </w:p>
        </w:tc>
        <w:tc>
          <w:tcPr>
            <w:tcW w:w="2411" w:type="pct"/>
            <w:tcBorders>
              <w:top w:val="nil"/>
              <w:left w:val="nil"/>
              <w:bottom w:val="nil"/>
              <w:right w:val="nil"/>
            </w:tcBorders>
            <w:shd w:val="clear" w:color="000000" w:fill="E7E6E6"/>
            <w:vAlign w:val="center"/>
            <w:hideMark/>
          </w:tcPr>
          <w:p w14:paraId="4535B41A"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K35*- K38*</w:t>
            </w:r>
          </w:p>
        </w:tc>
      </w:tr>
      <w:tr w:rsidR="00706075" w:rsidRPr="00706075" w14:paraId="02595827" w14:textId="77777777" w:rsidTr="00694DBB">
        <w:trPr>
          <w:trHeight w:val="288"/>
        </w:trPr>
        <w:tc>
          <w:tcPr>
            <w:tcW w:w="544" w:type="pct"/>
            <w:tcBorders>
              <w:top w:val="nil"/>
              <w:left w:val="nil"/>
              <w:bottom w:val="nil"/>
              <w:right w:val="nil"/>
            </w:tcBorders>
            <w:shd w:val="clear" w:color="auto" w:fill="auto"/>
            <w:vAlign w:val="center"/>
            <w:hideMark/>
          </w:tcPr>
          <w:p w14:paraId="36CBEB3A"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35</w:t>
            </w:r>
          </w:p>
        </w:tc>
        <w:tc>
          <w:tcPr>
            <w:tcW w:w="2044" w:type="pct"/>
            <w:tcBorders>
              <w:top w:val="nil"/>
              <w:left w:val="nil"/>
              <w:bottom w:val="nil"/>
              <w:right w:val="nil"/>
            </w:tcBorders>
            <w:shd w:val="clear" w:color="auto" w:fill="auto"/>
            <w:vAlign w:val="center"/>
            <w:hideMark/>
          </w:tcPr>
          <w:p w14:paraId="480BD262"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Hernia</w:t>
            </w:r>
          </w:p>
        </w:tc>
        <w:tc>
          <w:tcPr>
            <w:tcW w:w="2411" w:type="pct"/>
            <w:tcBorders>
              <w:top w:val="nil"/>
              <w:left w:val="nil"/>
              <w:bottom w:val="nil"/>
              <w:right w:val="nil"/>
            </w:tcBorders>
            <w:shd w:val="clear" w:color="auto" w:fill="auto"/>
            <w:vAlign w:val="center"/>
            <w:hideMark/>
          </w:tcPr>
          <w:p w14:paraId="0892C9EE"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K40*- K46*</w:t>
            </w:r>
          </w:p>
        </w:tc>
      </w:tr>
      <w:tr w:rsidR="00706075" w:rsidRPr="00706075" w14:paraId="2115F7CD" w14:textId="77777777" w:rsidTr="00694DBB">
        <w:trPr>
          <w:trHeight w:val="288"/>
        </w:trPr>
        <w:tc>
          <w:tcPr>
            <w:tcW w:w="544" w:type="pct"/>
            <w:tcBorders>
              <w:top w:val="nil"/>
              <w:left w:val="nil"/>
              <w:bottom w:val="nil"/>
              <w:right w:val="nil"/>
            </w:tcBorders>
            <w:shd w:val="clear" w:color="000000" w:fill="E7E6E6"/>
            <w:vAlign w:val="center"/>
            <w:hideMark/>
          </w:tcPr>
          <w:p w14:paraId="3897757C"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36</w:t>
            </w:r>
          </w:p>
        </w:tc>
        <w:tc>
          <w:tcPr>
            <w:tcW w:w="2044" w:type="pct"/>
            <w:tcBorders>
              <w:top w:val="nil"/>
              <w:left w:val="nil"/>
              <w:bottom w:val="nil"/>
              <w:right w:val="nil"/>
            </w:tcBorders>
            <w:shd w:val="clear" w:color="000000" w:fill="E7E6E6"/>
            <w:vAlign w:val="center"/>
            <w:hideMark/>
          </w:tcPr>
          <w:p w14:paraId="2582DB0F"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Chronic liver disease and cirrhosis</w:t>
            </w:r>
          </w:p>
        </w:tc>
        <w:tc>
          <w:tcPr>
            <w:tcW w:w="2411" w:type="pct"/>
            <w:tcBorders>
              <w:top w:val="nil"/>
              <w:left w:val="nil"/>
              <w:bottom w:val="nil"/>
              <w:right w:val="nil"/>
            </w:tcBorders>
            <w:shd w:val="clear" w:color="000000" w:fill="E7E6E6"/>
            <w:vAlign w:val="center"/>
            <w:hideMark/>
          </w:tcPr>
          <w:p w14:paraId="281AA41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K70*, K73*, K74*</w:t>
            </w:r>
          </w:p>
        </w:tc>
      </w:tr>
      <w:tr w:rsidR="00706075" w:rsidRPr="00706075" w14:paraId="678D76C0" w14:textId="77777777" w:rsidTr="00694DBB">
        <w:trPr>
          <w:trHeight w:val="576"/>
        </w:trPr>
        <w:tc>
          <w:tcPr>
            <w:tcW w:w="544" w:type="pct"/>
            <w:tcBorders>
              <w:top w:val="nil"/>
              <w:left w:val="nil"/>
              <w:bottom w:val="nil"/>
              <w:right w:val="nil"/>
            </w:tcBorders>
            <w:shd w:val="clear" w:color="auto" w:fill="auto"/>
            <w:vAlign w:val="center"/>
            <w:hideMark/>
          </w:tcPr>
          <w:p w14:paraId="62D02719"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37</w:t>
            </w:r>
          </w:p>
        </w:tc>
        <w:tc>
          <w:tcPr>
            <w:tcW w:w="2044" w:type="pct"/>
            <w:tcBorders>
              <w:top w:val="nil"/>
              <w:left w:val="nil"/>
              <w:bottom w:val="nil"/>
              <w:right w:val="nil"/>
            </w:tcBorders>
            <w:shd w:val="clear" w:color="auto" w:fill="auto"/>
            <w:vAlign w:val="center"/>
            <w:hideMark/>
          </w:tcPr>
          <w:p w14:paraId="6678C9B0"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Cholelithiasis and other disorders of gallbladder</w:t>
            </w:r>
          </w:p>
        </w:tc>
        <w:tc>
          <w:tcPr>
            <w:tcW w:w="2411" w:type="pct"/>
            <w:tcBorders>
              <w:top w:val="nil"/>
              <w:left w:val="nil"/>
              <w:bottom w:val="nil"/>
              <w:right w:val="nil"/>
            </w:tcBorders>
            <w:shd w:val="clear" w:color="auto" w:fill="auto"/>
            <w:vAlign w:val="center"/>
            <w:hideMark/>
          </w:tcPr>
          <w:p w14:paraId="42DE5C73"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K80*- K82*</w:t>
            </w:r>
          </w:p>
        </w:tc>
      </w:tr>
      <w:tr w:rsidR="00706075" w:rsidRPr="00706075" w14:paraId="2BA7B643" w14:textId="77777777" w:rsidTr="00694DBB">
        <w:trPr>
          <w:trHeight w:val="576"/>
        </w:trPr>
        <w:tc>
          <w:tcPr>
            <w:tcW w:w="544" w:type="pct"/>
            <w:tcBorders>
              <w:top w:val="nil"/>
              <w:left w:val="nil"/>
              <w:bottom w:val="nil"/>
              <w:right w:val="nil"/>
            </w:tcBorders>
            <w:shd w:val="clear" w:color="000000" w:fill="E7E6E6"/>
            <w:vAlign w:val="center"/>
            <w:hideMark/>
          </w:tcPr>
          <w:p w14:paraId="39118ED3"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38</w:t>
            </w:r>
          </w:p>
        </w:tc>
        <w:tc>
          <w:tcPr>
            <w:tcW w:w="2044" w:type="pct"/>
            <w:tcBorders>
              <w:top w:val="nil"/>
              <w:left w:val="nil"/>
              <w:bottom w:val="nil"/>
              <w:right w:val="nil"/>
            </w:tcBorders>
            <w:shd w:val="clear" w:color="000000" w:fill="E7E6E6"/>
            <w:vAlign w:val="center"/>
            <w:hideMark/>
          </w:tcPr>
          <w:p w14:paraId="71A0FDC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Nephritis, nephrotic syndrome and nephrosis</w:t>
            </w:r>
          </w:p>
        </w:tc>
        <w:tc>
          <w:tcPr>
            <w:tcW w:w="2411" w:type="pct"/>
            <w:tcBorders>
              <w:top w:val="nil"/>
              <w:left w:val="nil"/>
              <w:bottom w:val="nil"/>
              <w:right w:val="nil"/>
            </w:tcBorders>
            <w:shd w:val="clear" w:color="000000" w:fill="E7E6E6"/>
            <w:vAlign w:val="center"/>
            <w:hideMark/>
          </w:tcPr>
          <w:p w14:paraId="4834C64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N00*-N07*, N17*-N19*, N25*- N27*</w:t>
            </w:r>
          </w:p>
        </w:tc>
      </w:tr>
      <w:tr w:rsidR="00706075" w:rsidRPr="00706075" w14:paraId="5F574779" w14:textId="77777777" w:rsidTr="00694DBB">
        <w:trPr>
          <w:trHeight w:val="288"/>
        </w:trPr>
        <w:tc>
          <w:tcPr>
            <w:tcW w:w="544" w:type="pct"/>
            <w:tcBorders>
              <w:top w:val="nil"/>
              <w:left w:val="nil"/>
              <w:bottom w:val="nil"/>
              <w:right w:val="nil"/>
            </w:tcBorders>
            <w:shd w:val="clear" w:color="auto" w:fill="auto"/>
            <w:vAlign w:val="center"/>
            <w:hideMark/>
          </w:tcPr>
          <w:p w14:paraId="5C07F6B7"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39</w:t>
            </w:r>
          </w:p>
        </w:tc>
        <w:tc>
          <w:tcPr>
            <w:tcW w:w="2044" w:type="pct"/>
            <w:tcBorders>
              <w:top w:val="nil"/>
              <w:left w:val="nil"/>
              <w:bottom w:val="nil"/>
              <w:right w:val="nil"/>
            </w:tcBorders>
            <w:shd w:val="clear" w:color="auto" w:fill="auto"/>
            <w:vAlign w:val="center"/>
            <w:hideMark/>
          </w:tcPr>
          <w:p w14:paraId="3890A42C"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Infections of kidney</w:t>
            </w:r>
          </w:p>
        </w:tc>
        <w:tc>
          <w:tcPr>
            <w:tcW w:w="2411" w:type="pct"/>
            <w:tcBorders>
              <w:top w:val="nil"/>
              <w:left w:val="nil"/>
              <w:bottom w:val="nil"/>
              <w:right w:val="nil"/>
            </w:tcBorders>
            <w:shd w:val="clear" w:color="auto" w:fill="auto"/>
            <w:vAlign w:val="center"/>
            <w:hideMark/>
          </w:tcPr>
          <w:p w14:paraId="1FF6EFB9" w14:textId="5FE79F8C"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N10*, N12*, N136*, N151*</w:t>
            </w:r>
          </w:p>
        </w:tc>
      </w:tr>
      <w:tr w:rsidR="00706075" w:rsidRPr="00706075" w14:paraId="77E633F1" w14:textId="77777777" w:rsidTr="00694DBB">
        <w:trPr>
          <w:trHeight w:val="288"/>
        </w:trPr>
        <w:tc>
          <w:tcPr>
            <w:tcW w:w="544" w:type="pct"/>
            <w:tcBorders>
              <w:top w:val="nil"/>
              <w:left w:val="nil"/>
              <w:bottom w:val="nil"/>
              <w:right w:val="nil"/>
            </w:tcBorders>
            <w:shd w:val="clear" w:color="000000" w:fill="E7E6E6"/>
            <w:vAlign w:val="center"/>
            <w:hideMark/>
          </w:tcPr>
          <w:p w14:paraId="325DE0CC"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40</w:t>
            </w:r>
          </w:p>
        </w:tc>
        <w:tc>
          <w:tcPr>
            <w:tcW w:w="2044" w:type="pct"/>
            <w:tcBorders>
              <w:top w:val="nil"/>
              <w:left w:val="nil"/>
              <w:bottom w:val="nil"/>
              <w:right w:val="nil"/>
            </w:tcBorders>
            <w:shd w:val="clear" w:color="000000" w:fill="E7E6E6"/>
            <w:vAlign w:val="center"/>
            <w:hideMark/>
          </w:tcPr>
          <w:p w14:paraId="5685C4E7"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Hyperplasia of prostate</w:t>
            </w:r>
          </w:p>
        </w:tc>
        <w:tc>
          <w:tcPr>
            <w:tcW w:w="2411" w:type="pct"/>
            <w:tcBorders>
              <w:top w:val="nil"/>
              <w:left w:val="nil"/>
              <w:bottom w:val="nil"/>
              <w:right w:val="nil"/>
            </w:tcBorders>
            <w:shd w:val="clear" w:color="000000" w:fill="E7E6E6"/>
            <w:vAlign w:val="center"/>
            <w:hideMark/>
          </w:tcPr>
          <w:p w14:paraId="64DFC71B"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N40*</w:t>
            </w:r>
          </w:p>
        </w:tc>
      </w:tr>
      <w:tr w:rsidR="00706075" w:rsidRPr="00706075" w14:paraId="18C6A83E" w14:textId="77777777" w:rsidTr="00694DBB">
        <w:trPr>
          <w:trHeight w:val="576"/>
        </w:trPr>
        <w:tc>
          <w:tcPr>
            <w:tcW w:w="544" w:type="pct"/>
            <w:tcBorders>
              <w:top w:val="nil"/>
              <w:left w:val="nil"/>
              <w:bottom w:val="nil"/>
              <w:right w:val="nil"/>
            </w:tcBorders>
            <w:shd w:val="clear" w:color="auto" w:fill="auto"/>
            <w:vAlign w:val="center"/>
            <w:hideMark/>
          </w:tcPr>
          <w:p w14:paraId="55639C49"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41</w:t>
            </w:r>
          </w:p>
        </w:tc>
        <w:tc>
          <w:tcPr>
            <w:tcW w:w="2044" w:type="pct"/>
            <w:tcBorders>
              <w:top w:val="nil"/>
              <w:left w:val="nil"/>
              <w:bottom w:val="nil"/>
              <w:right w:val="nil"/>
            </w:tcBorders>
            <w:shd w:val="clear" w:color="auto" w:fill="auto"/>
            <w:vAlign w:val="center"/>
            <w:hideMark/>
          </w:tcPr>
          <w:p w14:paraId="696F808C"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Inflammatory diseases of female pelvic organs</w:t>
            </w:r>
          </w:p>
        </w:tc>
        <w:tc>
          <w:tcPr>
            <w:tcW w:w="2411" w:type="pct"/>
            <w:tcBorders>
              <w:top w:val="nil"/>
              <w:left w:val="nil"/>
              <w:bottom w:val="nil"/>
              <w:right w:val="nil"/>
            </w:tcBorders>
            <w:shd w:val="clear" w:color="auto" w:fill="auto"/>
            <w:vAlign w:val="center"/>
            <w:hideMark/>
          </w:tcPr>
          <w:p w14:paraId="75A36781"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N70*- N76*</w:t>
            </w:r>
          </w:p>
        </w:tc>
      </w:tr>
      <w:tr w:rsidR="00706075" w:rsidRPr="00706075" w14:paraId="3BFEBC70" w14:textId="77777777" w:rsidTr="00694DBB">
        <w:trPr>
          <w:trHeight w:val="576"/>
        </w:trPr>
        <w:tc>
          <w:tcPr>
            <w:tcW w:w="544" w:type="pct"/>
            <w:tcBorders>
              <w:top w:val="nil"/>
              <w:left w:val="nil"/>
              <w:bottom w:val="nil"/>
              <w:right w:val="nil"/>
            </w:tcBorders>
            <w:shd w:val="clear" w:color="000000" w:fill="E7E6E6"/>
            <w:vAlign w:val="center"/>
            <w:hideMark/>
          </w:tcPr>
          <w:p w14:paraId="1831070D"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42</w:t>
            </w:r>
          </w:p>
        </w:tc>
        <w:tc>
          <w:tcPr>
            <w:tcW w:w="2044" w:type="pct"/>
            <w:tcBorders>
              <w:top w:val="nil"/>
              <w:left w:val="nil"/>
              <w:bottom w:val="nil"/>
              <w:right w:val="nil"/>
            </w:tcBorders>
            <w:shd w:val="clear" w:color="000000" w:fill="E7E6E6"/>
            <w:vAlign w:val="center"/>
            <w:hideMark/>
          </w:tcPr>
          <w:p w14:paraId="2BE83DD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Pregnancy, childbirth and the puerperium</w:t>
            </w:r>
          </w:p>
        </w:tc>
        <w:tc>
          <w:tcPr>
            <w:tcW w:w="2411" w:type="pct"/>
            <w:tcBorders>
              <w:top w:val="nil"/>
              <w:left w:val="nil"/>
              <w:bottom w:val="nil"/>
              <w:right w:val="nil"/>
            </w:tcBorders>
            <w:shd w:val="clear" w:color="000000" w:fill="E7E6E6"/>
            <w:vAlign w:val="center"/>
            <w:hideMark/>
          </w:tcPr>
          <w:p w14:paraId="079A0D5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O*</w:t>
            </w:r>
          </w:p>
        </w:tc>
      </w:tr>
      <w:tr w:rsidR="00706075" w:rsidRPr="00706075" w14:paraId="11AB2055" w14:textId="77777777" w:rsidTr="00694DBB">
        <w:trPr>
          <w:trHeight w:val="576"/>
        </w:trPr>
        <w:tc>
          <w:tcPr>
            <w:tcW w:w="544" w:type="pct"/>
            <w:tcBorders>
              <w:top w:val="nil"/>
              <w:left w:val="nil"/>
              <w:bottom w:val="nil"/>
              <w:right w:val="nil"/>
            </w:tcBorders>
            <w:shd w:val="clear" w:color="auto" w:fill="auto"/>
            <w:vAlign w:val="center"/>
            <w:hideMark/>
          </w:tcPr>
          <w:p w14:paraId="368FFBDD"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43</w:t>
            </w:r>
          </w:p>
        </w:tc>
        <w:tc>
          <w:tcPr>
            <w:tcW w:w="2044" w:type="pct"/>
            <w:tcBorders>
              <w:top w:val="nil"/>
              <w:left w:val="nil"/>
              <w:bottom w:val="nil"/>
              <w:right w:val="nil"/>
            </w:tcBorders>
            <w:shd w:val="clear" w:color="auto" w:fill="auto"/>
            <w:vAlign w:val="center"/>
            <w:hideMark/>
          </w:tcPr>
          <w:p w14:paraId="4CBE2BB2"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Certain conditions originating in the perinatal period</w:t>
            </w:r>
          </w:p>
        </w:tc>
        <w:tc>
          <w:tcPr>
            <w:tcW w:w="2411" w:type="pct"/>
            <w:tcBorders>
              <w:top w:val="nil"/>
              <w:left w:val="nil"/>
              <w:bottom w:val="nil"/>
              <w:right w:val="nil"/>
            </w:tcBorders>
            <w:shd w:val="clear" w:color="auto" w:fill="auto"/>
            <w:vAlign w:val="center"/>
            <w:hideMark/>
          </w:tcPr>
          <w:p w14:paraId="369F206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P*</w:t>
            </w:r>
          </w:p>
        </w:tc>
      </w:tr>
      <w:tr w:rsidR="00706075" w:rsidRPr="00706075" w14:paraId="51C0A3CB" w14:textId="77777777" w:rsidTr="00694DBB">
        <w:trPr>
          <w:trHeight w:val="864"/>
        </w:trPr>
        <w:tc>
          <w:tcPr>
            <w:tcW w:w="544" w:type="pct"/>
            <w:tcBorders>
              <w:top w:val="nil"/>
              <w:left w:val="nil"/>
              <w:bottom w:val="nil"/>
              <w:right w:val="nil"/>
            </w:tcBorders>
            <w:shd w:val="clear" w:color="000000" w:fill="E7E6E6"/>
            <w:vAlign w:val="center"/>
            <w:hideMark/>
          </w:tcPr>
          <w:p w14:paraId="6D041B97"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44</w:t>
            </w:r>
          </w:p>
        </w:tc>
        <w:tc>
          <w:tcPr>
            <w:tcW w:w="2044" w:type="pct"/>
            <w:tcBorders>
              <w:top w:val="nil"/>
              <w:left w:val="nil"/>
              <w:bottom w:val="nil"/>
              <w:right w:val="nil"/>
            </w:tcBorders>
            <w:shd w:val="clear" w:color="000000" w:fill="E7E6E6"/>
            <w:vAlign w:val="center"/>
            <w:hideMark/>
          </w:tcPr>
          <w:p w14:paraId="51A37155"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Congenital malformations, deformations and chromosomal abnormalities</w:t>
            </w:r>
          </w:p>
        </w:tc>
        <w:tc>
          <w:tcPr>
            <w:tcW w:w="2411" w:type="pct"/>
            <w:tcBorders>
              <w:top w:val="nil"/>
              <w:left w:val="nil"/>
              <w:bottom w:val="nil"/>
              <w:right w:val="nil"/>
            </w:tcBorders>
            <w:shd w:val="clear" w:color="000000" w:fill="E7E6E6"/>
            <w:vAlign w:val="center"/>
            <w:hideMark/>
          </w:tcPr>
          <w:p w14:paraId="063F9EE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Q*</w:t>
            </w:r>
          </w:p>
        </w:tc>
      </w:tr>
      <w:tr w:rsidR="00706075" w:rsidRPr="00706075" w14:paraId="4800EC69" w14:textId="77777777" w:rsidTr="00694DBB">
        <w:trPr>
          <w:trHeight w:val="288"/>
        </w:trPr>
        <w:tc>
          <w:tcPr>
            <w:tcW w:w="544" w:type="pct"/>
            <w:tcBorders>
              <w:top w:val="nil"/>
              <w:left w:val="nil"/>
              <w:bottom w:val="nil"/>
              <w:right w:val="nil"/>
            </w:tcBorders>
            <w:shd w:val="clear" w:color="auto" w:fill="auto"/>
            <w:vAlign w:val="center"/>
            <w:hideMark/>
          </w:tcPr>
          <w:p w14:paraId="66587757"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45</w:t>
            </w:r>
          </w:p>
        </w:tc>
        <w:tc>
          <w:tcPr>
            <w:tcW w:w="2044" w:type="pct"/>
            <w:tcBorders>
              <w:top w:val="nil"/>
              <w:left w:val="nil"/>
              <w:bottom w:val="nil"/>
              <w:right w:val="nil"/>
            </w:tcBorders>
            <w:shd w:val="clear" w:color="auto" w:fill="auto"/>
            <w:vAlign w:val="center"/>
            <w:hideMark/>
          </w:tcPr>
          <w:p w14:paraId="6AE72137"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Accidents (unintentional injuries)</w:t>
            </w:r>
          </w:p>
        </w:tc>
        <w:tc>
          <w:tcPr>
            <w:tcW w:w="2411" w:type="pct"/>
            <w:tcBorders>
              <w:top w:val="nil"/>
              <w:left w:val="nil"/>
              <w:bottom w:val="nil"/>
              <w:right w:val="nil"/>
            </w:tcBorders>
            <w:shd w:val="clear" w:color="auto" w:fill="auto"/>
            <w:vAlign w:val="center"/>
            <w:hideMark/>
          </w:tcPr>
          <w:p w14:paraId="3FF2284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V*, W*, X0*- X5*, Y85*, Y86*</w:t>
            </w:r>
          </w:p>
        </w:tc>
      </w:tr>
      <w:tr w:rsidR="00706075" w:rsidRPr="00706075" w14:paraId="5EFC3E76" w14:textId="77777777" w:rsidTr="00694DBB">
        <w:trPr>
          <w:trHeight w:val="288"/>
        </w:trPr>
        <w:tc>
          <w:tcPr>
            <w:tcW w:w="544" w:type="pct"/>
            <w:tcBorders>
              <w:top w:val="nil"/>
              <w:left w:val="nil"/>
              <w:bottom w:val="nil"/>
              <w:right w:val="nil"/>
            </w:tcBorders>
            <w:shd w:val="clear" w:color="000000" w:fill="E7E6E6"/>
            <w:vAlign w:val="center"/>
            <w:hideMark/>
          </w:tcPr>
          <w:p w14:paraId="667A5B33"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46</w:t>
            </w:r>
          </w:p>
        </w:tc>
        <w:tc>
          <w:tcPr>
            <w:tcW w:w="2044" w:type="pct"/>
            <w:tcBorders>
              <w:top w:val="nil"/>
              <w:left w:val="nil"/>
              <w:bottom w:val="nil"/>
              <w:right w:val="nil"/>
            </w:tcBorders>
            <w:shd w:val="clear" w:color="000000" w:fill="E7E6E6"/>
            <w:vAlign w:val="center"/>
            <w:hideMark/>
          </w:tcPr>
          <w:p w14:paraId="7F09924F"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Intentional self-harm (suicide)</w:t>
            </w:r>
          </w:p>
        </w:tc>
        <w:tc>
          <w:tcPr>
            <w:tcW w:w="2411" w:type="pct"/>
            <w:tcBorders>
              <w:top w:val="nil"/>
              <w:left w:val="nil"/>
              <w:bottom w:val="nil"/>
              <w:right w:val="nil"/>
            </w:tcBorders>
            <w:shd w:val="clear" w:color="000000" w:fill="E7E6E6"/>
            <w:vAlign w:val="center"/>
            <w:hideMark/>
          </w:tcPr>
          <w:p w14:paraId="2D3ED84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U03*, X80*- X84*, X6*, X7*, Y870</w:t>
            </w:r>
          </w:p>
        </w:tc>
      </w:tr>
      <w:tr w:rsidR="00706075" w:rsidRPr="00706075" w14:paraId="6BCDC09E" w14:textId="77777777" w:rsidTr="00694DBB">
        <w:trPr>
          <w:trHeight w:val="288"/>
        </w:trPr>
        <w:tc>
          <w:tcPr>
            <w:tcW w:w="544" w:type="pct"/>
            <w:tcBorders>
              <w:top w:val="nil"/>
              <w:left w:val="nil"/>
              <w:bottom w:val="nil"/>
              <w:right w:val="nil"/>
            </w:tcBorders>
            <w:shd w:val="clear" w:color="auto" w:fill="auto"/>
            <w:vAlign w:val="center"/>
            <w:hideMark/>
          </w:tcPr>
          <w:p w14:paraId="0DF51BD2"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47</w:t>
            </w:r>
          </w:p>
        </w:tc>
        <w:tc>
          <w:tcPr>
            <w:tcW w:w="2044" w:type="pct"/>
            <w:tcBorders>
              <w:top w:val="nil"/>
              <w:left w:val="nil"/>
              <w:bottom w:val="nil"/>
              <w:right w:val="nil"/>
            </w:tcBorders>
            <w:shd w:val="clear" w:color="auto" w:fill="auto"/>
            <w:vAlign w:val="center"/>
            <w:hideMark/>
          </w:tcPr>
          <w:p w14:paraId="0F3910CC"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Assault (homicide)</w:t>
            </w:r>
          </w:p>
        </w:tc>
        <w:tc>
          <w:tcPr>
            <w:tcW w:w="2411" w:type="pct"/>
            <w:tcBorders>
              <w:top w:val="nil"/>
              <w:left w:val="nil"/>
              <w:bottom w:val="nil"/>
              <w:right w:val="nil"/>
            </w:tcBorders>
            <w:shd w:val="clear" w:color="auto" w:fill="auto"/>
            <w:vAlign w:val="center"/>
            <w:hideMark/>
          </w:tcPr>
          <w:p w14:paraId="1B461CDB"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U01*, U02*, X85*-X89*, X9*, Y0*, Y871</w:t>
            </w:r>
          </w:p>
        </w:tc>
      </w:tr>
      <w:tr w:rsidR="00706075" w:rsidRPr="00706075" w14:paraId="22584694" w14:textId="77777777" w:rsidTr="00694DBB">
        <w:trPr>
          <w:trHeight w:val="288"/>
        </w:trPr>
        <w:tc>
          <w:tcPr>
            <w:tcW w:w="544" w:type="pct"/>
            <w:tcBorders>
              <w:top w:val="nil"/>
              <w:left w:val="nil"/>
              <w:bottom w:val="nil"/>
              <w:right w:val="nil"/>
            </w:tcBorders>
            <w:shd w:val="clear" w:color="000000" w:fill="E7E6E6"/>
            <w:vAlign w:val="center"/>
            <w:hideMark/>
          </w:tcPr>
          <w:p w14:paraId="4F635D0A"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48</w:t>
            </w:r>
          </w:p>
        </w:tc>
        <w:tc>
          <w:tcPr>
            <w:tcW w:w="2044" w:type="pct"/>
            <w:tcBorders>
              <w:top w:val="nil"/>
              <w:left w:val="nil"/>
              <w:bottom w:val="nil"/>
              <w:right w:val="nil"/>
            </w:tcBorders>
            <w:shd w:val="clear" w:color="000000" w:fill="E7E6E6"/>
            <w:vAlign w:val="center"/>
            <w:hideMark/>
          </w:tcPr>
          <w:p w14:paraId="31F53B59"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Legal intervention</w:t>
            </w:r>
          </w:p>
        </w:tc>
        <w:tc>
          <w:tcPr>
            <w:tcW w:w="2411" w:type="pct"/>
            <w:tcBorders>
              <w:top w:val="nil"/>
              <w:left w:val="nil"/>
              <w:bottom w:val="nil"/>
              <w:right w:val="nil"/>
            </w:tcBorders>
            <w:shd w:val="clear" w:color="000000" w:fill="E7E6E6"/>
            <w:vAlign w:val="center"/>
            <w:hideMark/>
          </w:tcPr>
          <w:p w14:paraId="27F2A2B2" w14:textId="0E3F6064"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Y35*, Y871</w:t>
            </w:r>
          </w:p>
        </w:tc>
      </w:tr>
      <w:tr w:rsidR="00706075" w:rsidRPr="00706075" w14:paraId="2C8BE958" w14:textId="77777777" w:rsidTr="00694DBB">
        <w:trPr>
          <w:trHeight w:val="576"/>
        </w:trPr>
        <w:tc>
          <w:tcPr>
            <w:tcW w:w="544" w:type="pct"/>
            <w:tcBorders>
              <w:top w:val="nil"/>
              <w:left w:val="nil"/>
              <w:bottom w:val="nil"/>
              <w:right w:val="nil"/>
            </w:tcBorders>
            <w:shd w:val="clear" w:color="auto" w:fill="auto"/>
            <w:vAlign w:val="center"/>
            <w:hideMark/>
          </w:tcPr>
          <w:p w14:paraId="2F987348"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49</w:t>
            </w:r>
          </w:p>
        </w:tc>
        <w:tc>
          <w:tcPr>
            <w:tcW w:w="2044" w:type="pct"/>
            <w:tcBorders>
              <w:top w:val="nil"/>
              <w:left w:val="nil"/>
              <w:bottom w:val="nil"/>
              <w:right w:val="nil"/>
            </w:tcBorders>
            <w:shd w:val="clear" w:color="auto" w:fill="auto"/>
            <w:vAlign w:val="center"/>
            <w:hideMark/>
          </w:tcPr>
          <w:p w14:paraId="068B70FE"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Operations of war and their sequelae</w:t>
            </w:r>
          </w:p>
        </w:tc>
        <w:tc>
          <w:tcPr>
            <w:tcW w:w="2411" w:type="pct"/>
            <w:tcBorders>
              <w:top w:val="nil"/>
              <w:left w:val="nil"/>
              <w:bottom w:val="nil"/>
              <w:right w:val="nil"/>
            </w:tcBorders>
            <w:shd w:val="clear" w:color="auto" w:fill="auto"/>
            <w:vAlign w:val="center"/>
            <w:hideMark/>
          </w:tcPr>
          <w:p w14:paraId="2E7A7FF7" w14:textId="5B4D2E7F"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Y36**, Y891</w:t>
            </w:r>
          </w:p>
        </w:tc>
      </w:tr>
      <w:tr w:rsidR="00706075" w:rsidRPr="00706075" w14:paraId="5756B781" w14:textId="77777777" w:rsidTr="00694DBB">
        <w:trPr>
          <w:trHeight w:val="576"/>
        </w:trPr>
        <w:tc>
          <w:tcPr>
            <w:tcW w:w="544" w:type="pct"/>
            <w:tcBorders>
              <w:top w:val="nil"/>
              <w:left w:val="nil"/>
              <w:bottom w:val="nil"/>
              <w:right w:val="nil"/>
            </w:tcBorders>
            <w:shd w:val="clear" w:color="000000" w:fill="E7E6E6"/>
            <w:vAlign w:val="center"/>
            <w:hideMark/>
          </w:tcPr>
          <w:p w14:paraId="0E839ACE"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50</w:t>
            </w:r>
          </w:p>
        </w:tc>
        <w:tc>
          <w:tcPr>
            <w:tcW w:w="2044" w:type="pct"/>
            <w:tcBorders>
              <w:top w:val="nil"/>
              <w:left w:val="nil"/>
              <w:bottom w:val="nil"/>
              <w:right w:val="nil"/>
            </w:tcBorders>
            <w:shd w:val="clear" w:color="000000" w:fill="E7E6E6"/>
            <w:vAlign w:val="center"/>
            <w:hideMark/>
          </w:tcPr>
          <w:p w14:paraId="69D68F66"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Complications of medical and surgical care</w:t>
            </w:r>
          </w:p>
        </w:tc>
        <w:tc>
          <w:tcPr>
            <w:tcW w:w="2411" w:type="pct"/>
            <w:tcBorders>
              <w:top w:val="nil"/>
              <w:left w:val="nil"/>
              <w:bottom w:val="nil"/>
              <w:right w:val="nil"/>
            </w:tcBorders>
            <w:shd w:val="clear" w:color="000000" w:fill="E7E6E6"/>
            <w:vAlign w:val="center"/>
            <w:hideMark/>
          </w:tcPr>
          <w:p w14:paraId="67482F9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Y4*-Y7*, Y80*- Y84*, Y88*</w:t>
            </w:r>
          </w:p>
        </w:tc>
      </w:tr>
      <w:tr w:rsidR="00706075" w:rsidRPr="00706075" w14:paraId="72D60AEA" w14:textId="77777777" w:rsidTr="00694DBB">
        <w:trPr>
          <w:trHeight w:val="288"/>
        </w:trPr>
        <w:tc>
          <w:tcPr>
            <w:tcW w:w="544" w:type="pct"/>
            <w:tcBorders>
              <w:top w:val="nil"/>
              <w:left w:val="nil"/>
              <w:bottom w:val="nil"/>
              <w:right w:val="nil"/>
            </w:tcBorders>
            <w:shd w:val="clear" w:color="auto" w:fill="auto"/>
            <w:vAlign w:val="center"/>
            <w:hideMark/>
          </w:tcPr>
          <w:p w14:paraId="34CAAF2C"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51</w:t>
            </w:r>
          </w:p>
        </w:tc>
        <w:tc>
          <w:tcPr>
            <w:tcW w:w="2044" w:type="pct"/>
            <w:tcBorders>
              <w:top w:val="nil"/>
              <w:left w:val="nil"/>
              <w:bottom w:val="nil"/>
              <w:right w:val="nil"/>
            </w:tcBorders>
            <w:shd w:val="clear" w:color="auto" w:fill="auto"/>
            <w:vAlign w:val="center"/>
            <w:hideMark/>
          </w:tcPr>
          <w:p w14:paraId="5EAF069F"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Enterocolitis C. difficile</w:t>
            </w:r>
          </w:p>
        </w:tc>
        <w:tc>
          <w:tcPr>
            <w:tcW w:w="2411" w:type="pct"/>
            <w:tcBorders>
              <w:top w:val="nil"/>
              <w:left w:val="nil"/>
              <w:bottom w:val="nil"/>
              <w:right w:val="nil"/>
            </w:tcBorders>
            <w:shd w:val="clear" w:color="auto" w:fill="auto"/>
            <w:vAlign w:val="center"/>
            <w:hideMark/>
          </w:tcPr>
          <w:p w14:paraId="7B9DE138"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A047</w:t>
            </w:r>
          </w:p>
        </w:tc>
      </w:tr>
      <w:tr w:rsidR="00706075" w:rsidRPr="00706075" w14:paraId="3FF9AEA7" w14:textId="77777777" w:rsidTr="00694DBB">
        <w:trPr>
          <w:trHeight w:val="300"/>
        </w:trPr>
        <w:tc>
          <w:tcPr>
            <w:tcW w:w="544" w:type="pct"/>
            <w:tcBorders>
              <w:top w:val="nil"/>
              <w:left w:val="nil"/>
              <w:bottom w:val="single" w:sz="8" w:space="0" w:color="auto"/>
              <w:right w:val="nil"/>
            </w:tcBorders>
            <w:shd w:val="clear" w:color="000000" w:fill="E7E6E6"/>
            <w:vAlign w:val="center"/>
            <w:hideMark/>
          </w:tcPr>
          <w:p w14:paraId="186DB0AA" w14:textId="77777777" w:rsidR="00706075" w:rsidRPr="00706075" w:rsidRDefault="00706075" w:rsidP="00706075">
            <w:pPr>
              <w:spacing w:after="0" w:line="240" w:lineRule="auto"/>
              <w:jc w:val="center"/>
              <w:rPr>
                <w:rFonts w:ascii="Tahoma" w:eastAsia="Times New Roman" w:hAnsi="Tahoma" w:cs="Tahoma"/>
                <w:color w:val="000000"/>
              </w:rPr>
            </w:pPr>
            <w:r w:rsidRPr="00706075">
              <w:rPr>
                <w:rFonts w:ascii="Tahoma" w:eastAsia="Times New Roman" w:hAnsi="Tahoma" w:cs="Tahoma"/>
                <w:color w:val="000000"/>
              </w:rPr>
              <w:t>52</w:t>
            </w:r>
          </w:p>
        </w:tc>
        <w:tc>
          <w:tcPr>
            <w:tcW w:w="2044" w:type="pct"/>
            <w:tcBorders>
              <w:top w:val="nil"/>
              <w:left w:val="nil"/>
              <w:bottom w:val="single" w:sz="8" w:space="0" w:color="auto"/>
              <w:right w:val="nil"/>
            </w:tcBorders>
            <w:shd w:val="clear" w:color="000000" w:fill="E7E6E6"/>
            <w:vAlign w:val="center"/>
            <w:hideMark/>
          </w:tcPr>
          <w:p w14:paraId="431F34C3"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COVID-19</w:t>
            </w:r>
          </w:p>
        </w:tc>
        <w:tc>
          <w:tcPr>
            <w:tcW w:w="2411" w:type="pct"/>
            <w:tcBorders>
              <w:top w:val="nil"/>
              <w:left w:val="nil"/>
              <w:bottom w:val="single" w:sz="8" w:space="0" w:color="auto"/>
              <w:right w:val="nil"/>
            </w:tcBorders>
            <w:shd w:val="clear" w:color="000000" w:fill="E7E6E6"/>
            <w:vAlign w:val="center"/>
            <w:hideMark/>
          </w:tcPr>
          <w:p w14:paraId="1F37EFDD" w14:textId="77777777" w:rsidR="00706075" w:rsidRPr="00706075" w:rsidRDefault="00706075" w:rsidP="00706075">
            <w:pPr>
              <w:spacing w:after="0" w:line="240" w:lineRule="auto"/>
              <w:rPr>
                <w:rFonts w:ascii="Tahoma" w:eastAsia="Times New Roman" w:hAnsi="Tahoma" w:cs="Tahoma"/>
                <w:color w:val="000000"/>
              </w:rPr>
            </w:pPr>
            <w:r w:rsidRPr="00706075">
              <w:rPr>
                <w:rFonts w:ascii="Tahoma" w:eastAsia="Times New Roman" w:hAnsi="Tahoma" w:cs="Tahoma"/>
                <w:color w:val="000000"/>
              </w:rPr>
              <w:t>U071*, U099*</w:t>
            </w:r>
          </w:p>
        </w:tc>
      </w:tr>
    </w:tbl>
    <w:p w14:paraId="533C988E" w14:textId="3787A23A" w:rsidR="008A0639" w:rsidRPr="00903B92" w:rsidRDefault="003811E5" w:rsidP="002E5B05">
      <w:pPr>
        <w:pStyle w:val="Heading2"/>
        <w:rPr>
          <w:rFonts w:ascii="Tahoma" w:hAnsi="Tahoma" w:cs="Tahoma"/>
        </w:rPr>
      </w:pPr>
      <w:r w:rsidRPr="00903B92">
        <w:rPr>
          <w:rFonts w:ascii="Tahoma" w:hAnsi="Tahoma" w:cs="Tahoma"/>
          <w:noProof/>
        </w:rPr>
        <w:lastRenderedPageBreak/>
        <w:drawing>
          <wp:anchor distT="0" distB="0" distL="114300" distR="114300" simplePos="0" relativeHeight="251666432" behindDoc="0" locked="0" layoutInCell="1" allowOverlap="1" wp14:anchorId="56B567CF" wp14:editId="24014FFB">
            <wp:simplePos x="0" y="0"/>
            <wp:positionH relativeFrom="margin">
              <wp:align>left</wp:align>
            </wp:positionH>
            <wp:positionV relativeFrom="paragraph">
              <wp:posOffset>294640</wp:posOffset>
            </wp:positionV>
            <wp:extent cx="2826385" cy="34099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26385" cy="3409950"/>
                    </a:xfrm>
                    <a:prstGeom prst="rect">
                      <a:avLst/>
                    </a:prstGeom>
                  </pic:spPr>
                </pic:pic>
              </a:graphicData>
            </a:graphic>
            <wp14:sizeRelH relativeFrom="margin">
              <wp14:pctWidth>0</wp14:pctWidth>
            </wp14:sizeRelH>
            <wp14:sizeRelV relativeFrom="margin">
              <wp14:pctHeight>0</wp14:pctHeight>
            </wp14:sizeRelV>
          </wp:anchor>
        </w:drawing>
      </w:r>
      <w:r w:rsidR="008A0639" w:rsidRPr="00903B92">
        <w:rPr>
          <w:rFonts w:ascii="Tahoma" w:hAnsi="Tahoma" w:cs="Tahoma"/>
        </w:rPr>
        <w:t xml:space="preserve">Wisconsin Department of Health </w:t>
      </w:r>
      <w:r w:rsidR="00DF0F87" w:rsidRPr="00903B92">
        <w:rPr>
          <w:rFonts w:ascii="Tahoma" w:hAnsi="Tahoma" w:cs="Tahoma"/>
        </w:rPr>
        <w:t>Services r</w:t>
      </w:r>
      <w:r w:rsidR="008A0639" w:rsidRPr="00903B92">
        <w:rPr>
          <w:rFonts w:ascii="Tahoma" w:hAnsi="Tahoma" w:cs="Tahoma"/>
        </w:rPr>
        <w:t>egions</w:t>
      </w:r>
    </w:p>
    <w:p w14:paraId="497CC91F" w14:textId="45B478B5" w:rsidR="008A0639" w:rsidRPr="00903B92" w:rsidRDefault="008A0639" w:rsidP="007A6860">
      <w:pPr>
        <w:pStyle w:val="NoSpacing"/>
        <w:rPr>
          <w:rFonts w:ascii="Tahoma" w:hAnsi="Tahoma" w:cs="Tahoma"/>
          <w:b/>
          <w:bCs/>
          <w:sz w:val="24"/>
          <w:szCs w:val="24"/>
          <w:u w:val="single"/>
        </w:rPr>
      </w:pPr>
    </w:p>
    <w:p w14:paraId="6FB9F89D" w14:textId="77777777" w:rsidR="009E51D7" w:rsidRPr="00903B92" w:rsidRDefault="009E51D7" w:rsidP="007A6860">
      <w:pPr>
        <w:pStyle w:val="NoSpacing"/>
        <w:rPr>
          <w:rFonts w:ascii="Tahoma" w:hAnsi="Tahoma" w:cs="Tahoma"/>
          <w:b/>
          <w:bCs/>
          <w:sz w:val="24"/>
          <w:szCs w:val="24"/>
          <w:u w:val="single"/>
        </w:rPr>
      </w:pPr>
    </w:p>
    <w:p w14:paraId="324A95C6" w14:textId="6E0E8ED9" w:rsidR="007A6860" w:rsidRPr="00903B92" w:rsidRDefault="00AE29BA" w:rsidP="002E5B05">
      <w:pPr>
        <w:pStyle w:val="Heading2"/>
        <w:rPr>
          <w:rFonts w:ascii="Tahoma" w:hAnsi="Tahoma" w:cs="Tahoma"/>
        </w:rPr>
      </w:pPr>
      <w:r w:rsidRPr="00903B92">
        <w:rPr>
          <w:rFonts w:ascii="Tahoma" w:hAnsi="Tahoma" w:cs="Tahoma"/>
        </w:rPr>
        <w:t xml:space="preserve">Age </w:t>
      </w:r>
      <w:r w:rsidR="00DF0F87" w:rsidRPr="00903B92">
        <w:rPr>
          <w:rFonts w:ascii="Tahoma" w:hAnsi="Tahoma" w:cs="Tahoma"/>
        </w:rPr>
        <w:t>a</w:t>
      </w:r>
      <w:r w:rsidRPr="00903B92">
        <w:rPr>
          <w:rFonts w:ascii="Tahoma" w:hAnsi="Tahoma" w:cs="Tahoma"/>
        </w:rPr>
        <w:t>djustment</w:t>
      </w:r>
    </w:p>
    <w:p w14:paraId="2BA3E115" w14:textId="4001B24D" w:rsidR="007A6860" w:rsidRPr="00903B92" w:rsidRDefault="007A6860" w:rsidP="00103E31">
      <w:pPr>
        <w:pStyle w:val="NoSpacing"/>
        <w:rPr>
          <w:rFonts w:ascii="Tahoma" w:hAnsi="Tahoma" w:cs="Tahoma"/>
          <w:b/>
          <w:bCs/>
        </w:rPr>
      </w:pPr>
    </w:p>
    <w:tbl>
      <w:tblPr>
        <w:tblW w:w="5000" w:type="pct"/>
        <w:tblLook w:val="04A0" w:firstRow="1" w:lastRow="0" w:firstColumn="1" w:lastColumn="0" w:noHBand="0" w:noVBand="1"/>
      </w:tblPr>
      <w:tblGrid>
        <w:gridCol w:w="3212"/>
        <w:gridCol w:w="3108"/>
        <w:gridCol w:w="3040"/>
      </w:tblGrid>
      <w:tr w:rsidR="00694DBB" w:rsidRPr="00694DBB" w14:paraId="10443FBF" w14:textId="77777777" w:rsidTr="00694DBB">
        <w:trPr>
          <w:trHeight w:val="648"/>
        </w:trPr>
        <w:tc>
          <w:tcPr>
            <w:tcW w:w="5000" w:type="pct"/>
            <w:gridSpan w:val="3"/>
            <w:tcBorders>
              <w:top w:val="single" w:sz="8" w:space="0" w:color="auto"/>
              <w:left w:val="nil"/>
              <w:bottom w:val="single" w:sz="8" w:space="0" w:color="auto"/>
              <w:right w:val="nil"/>
            </w:tcBorders>
            <w:shd w:val="clear" w:color="auto" w:fill="auto"/>
            <w:vAlign w:val="center"/>
            <w:hideMark/>
          </w:tcPr>
          <w:p w14:paraId="41C3D161" w14:textId="77777777" w:rsidR="00694DBB" w:rsidRPr="00694DBB" w:rsidRDefault="00694DBB" w:rsidP="00694DBB">
            <w:pPr>
              <w:spacing w:after="0" w:line="240" w:lineRule="auto"/>
              <w:rPr>
                <w:rFonts w:ascii="Tahoma" w:eastAsia="Times New Roman" w:hAnsi="Tahoma" w:cs="Tahoma"/>
                <w:b/>
                <w:bCs/>
                <w:color w:val="000000"/>
                <w:sz w:val="20"/>
                <w:szCs w:val="20"/>
              </w:rPr>
            </w:pPr>
            <w:r w:rsidRPr="00694DBB">
              <w:rPr>
                <w:rFonts w:ascii="Tahoma" w:eastAsia="Times New Roman" w:hAnsi="Tahoma" w:cs="Tahoma"/>
                <w:b/>
                <w:bCs/>
                <w:color w:val="000000"/>
                <w:sz w:val="20"/>
                <w:szCs w:val="20"/>
              </w:rPr>
              <w:t>Table 4. U.S. 2000 standard populations for age adjustment</w:t>
            </w:r>
          </w:p>
        </w:tc>
      </w:tr>
      <w:tr w:rsidR="00694DBB" w:rsidRPr="00694DBB" w14:paraId="2BDA5496" w14:textId="77777777" w:rsidTr="00694DBB">
        <w:trPr>
          <w:trHeight w:val="876"/>
        </w:trPr>
        <w:tc>
          <w:tcPr>
            <w:tcW w:w="1716" w:type="pct"/>
            <w:tcBorders>
              <w:top w:val="nil"/>
              <w:left w:val="nil"/>
              <w:bottom w:val="single" w:sz="8" w:space="0" w:color="auto"/>
              <w:right w:val="nil"/>
            </w:tcBorders>
            <w:shd w:val="clear" w:color="auto" w:fill="auto"/>
            <w:vAlign w:val="center"/>
            <w:hideMark/>
          </w:tcPr>
          <w:p w14:paraId="254E3D22" w14:textId="77777777" w:rsidR="00694DBB" w:rsidRPr="00694DBB" w:rsidRDefault="00694DBB" w:rsidP="00694DBB">
            <w:pPr>
              <w:spacing w:after="0" w:line="240" w:lineRule="auto"/>
              <w:rPr>
                <w:rFonts w:ascii="Tahoma" w:eastAsia="Times New Roman" w:hAnsi="Tahoma" w:cs="Tahoma"/>
                <w:b/>
                <w:bCs/>
                <w:color w:val="000000"/>
                <w:sz w:val="20"/>
                <w:szCs w:val="20"/>
              </w:rPr>
            </w:pPr>
            <w:r w:rsidRPr="00694DBB">
              <w:rPr>
                <w:rFonts w:ascii="Tahoma" w:eastAsia="Times New Roman" w:hAnsi="Tahoma" w:cs="Tahoma"/>
                <w:b/>
                <w:bCs/>
                <w:color w:val="000000"/>
                <w:sz w:val="20"/>
                <w:szCs w:val="20"/>
              </w:rPr>
              <w:t>Age</w:t>
            </w:r>
          </w:p>
        </w:tc>
        <w:tc>
          <w:tcPr>
            <w:tcW w:w="1660" w:type="pct"/>
            <w:tcBorders>
              <w:top w:val="nil"/>
              <w:left w:val="nil"/>
              <w:bottom w:val="single" w:sz="8" w:space="0" w:color="auto"/>
              <w:right w:val="nil"/>
            </w:tcBorders>
            <w:shd w:val="clear" w:color="auto" w:fill="auto"/>
            <w:vAlign w:val="center"/>
            <w:hideMark/>
          </w:tcPr>
          <w:p w14:paraId="458C046A" w14:textId="77777777" w:rsidR="00694DBB" w:rsidRPr="00694DBB" w:rsidRDefault="00694DBB" w:rsidP="00694DBB">
            <w:pPr>
              <w:spacing w:after="0" w:line="240" w:lineRule="auto"/>
              <w:rPr>
                <w:rFonts w:ascii="Tahoma" w:eastAsia="Times New Roman" w:hAnsi="Tahoma" w:cs="Tahoma"/>
                <w:b/>
                <w:bCs/>
                <w:color w:val="000000"/>
                <w:sz w:val="20"/>
                <w:szCs w:val="20"/>
              </w:rPr>
            </w:pPr>
            <w:r w:rsidRPr="00694DBB">
              <w:rPr>
                <w:rFonts w:ascii="Tahoma" w:eastAsia="Times New Roman" w:hAnsi="Tahoma" w:cs="Tahoma"/>
                <w:b/>
                <w:bCs/>
                <w:color w:val="000000"/>
                <w:sz w:val="20"/>
                <w:szCs w:val="20"/>
              </w:rPr>
              <w:t>U.S. standard population (in thousands)</w:t>
            </w:r>
          </w:p>
        </w:tc>
        <w:tc>
          <w:tcPr>
            <w:tcW w:w="1623" w:type="pct"/>
            <w:tcBorders>
              <w:top w:val="nil"/>
              <w:left w:val="nil"/>
              <w:bottom w:val="single" w:sz="8" w:space="0" w:color="auto"/>
              <w:right w:val="nil"/>
            </w:tcBorders>
            <w:shd w:val="clear" w:color="auto" w:fill="auto"/>
            <w:vAlign w:val="center"/>
            <w:hideMark/>
          </w:tcPr>
          <w:p w14:paraId="27921FCA" w14:textId="77777777" w:rsidR="00694DBB" w:rsidRPr="00694DBB" w:rsidRDefault="00694DBB" w:rsidP="00694DBB">
            <w:pPr>
              <w:spacing w:after="0" w:line="240" w:lineRule="auto"/>
              <w:rPr>
                <w:rFonts w:ascii="Tahoma" w:eastAsia="Times New Roman" w:hAnsi="Tahoma" w:cs="Tahoma"/>
                <w:b/>
                <w:bCs/>
                <w:color w:val="000000"/>
                <w:sz w:val="20"/>
                <w:szCs w:val="20"/>
              </w:rPr>
            </w:pPr>
            <w:r w:rsidRPr="00694DBB">
              <w:rPr>
                <w:rFonts w:ascii="Tahoma" w:eastAsia="Times New Roman" w:hAnsi="Tahoma" w:cs="Tahoma"/>
                <w:b/>
                <w:bCs/>
                <w:color w:val="000000"/>
                <w:sz w:val="20"/>
                <w:szCs w:val="20"/>
              </w:rPr>
              <w:t>Standard population weight</w:t>
            </w:r>
          </w:p>
        </w:tc>
      </w:tr>
      <w:tr w:rsidR="00694DBB" w:rsidRPr="00694DBB" w14:paraId="506D3105" w14:textId="77777777" w:rsidTr="00694DBB">
        <w:trPr>
          <w:trHeight w:val="288"/>
        </w:trPr>
        <w:tc>
          <w:tcPr>
            <w:tcW w:w="1716" w:type="pct"/>
            <w:tcBorders>
              <w:top w:val="nil"/>
              <w:left w:val="nil"/>
              <w:bottom w:val="nil"/>
              <w:right w:val="nil"/>
            </w:tcBorders>
            <w:shd w:val="clear" w:color="000000" w:fill="E7E6E6"/>
            <w:vAlign w:val="center"/>
            <w:hideMark/>
          </w:tcPr>
          <w:p w14:paraId="71EBCDEA"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 xml:space="preserve">0 years </w:t>
            </w:r>
          </w:p>
        </w:tc>
        <w:tc>
          <w:tcPr>
            <w:tcW w:w="1660" w:type="pct"/>
            <w:tcBorders>
              <w:top w:val="nil"/>
              <w:left w:val="nil"/>
              <w:bottom w:val="nil"/>
              <w:right w:val="nil"/>
            </w:tcBorders>
            <w:shd w:val="clear" w:color="000000" w:fill="E7E6E6"/>
            <w:vAlign w:val="center"/>
            <w:hideMark/>
          </w:tcPr>
          <w:p w14:paraId="7E477886"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3,795</w:t>
            </w:r>
          </w:p>
        </w:tc>
        <w:tc>
          <w:tcPr>
            <w:tcW w:w="1623" w:type="pct"/>
            <w:tcBorders>
              <w:top w:val="nil"/>
              <w:left w:val="nil"/>
              <w:bottom w:val="nil"/>
              <w:right w:val="nil"/>
            </w:tcBorders>
            <w:shd w:val="clear" w:color="000000" w:fill="E7E6E6"/>
            <w:vAlign w:val="center"/>
            <w:hideMark/>
          </w:tcPr>
          <w:p w14:paraId="16E7A9E3"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0.013818</w:t>
            </w:r>
          </w:p>
        </w:tc>
      </w:tr>
      <w:tr w:rsidR="00694DBB" w:rsidRPr="00694DBB" w14:paraId="4F0F5D58" w14:textId="77777777" w:rsidTr="00694DBB">
        <w:trPr>
          <w:trHeight w:val="288"/>
        </w:trPr>
        <w:tc>
          <w:tcPr>
            <w:tcW w:w="1716" w:type="pct"/>
            <w:tcBorders>
              <w:top w:val="nil"/>
              <w:left w:val="nil"/>
              <w:bottom w:val="nil"/>
              <w:right w:val="nil"/>
            </w:tcBorders>
            <w:shd w:val="clear" w:color="auto" w:fill="auto"/>
            <w:vAlign w:val="center"/>
            <w:hideMark/>
          </w:tcPr>
          <w:p w14:paraId="07FE7891"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1–4 years</w:t>
            </w:r>
          </w:p>
        </w:tc>
        <w:tc>
          <w:tcPr>
            <w:tcW w:w="1660" w:type="pct"/>
            <w:tcBorders>
              <w:top w:val="nil"/>
              <w:left w:val="nil"/>
              <w:bottom w:val="nil"/>
              <w:right w:val="nil"/>
            </w:tcBorders>
            <w:shd w:val="clear" w:color="auto" w:fill="auto"/>
            <w:vAlign w:val="center"/>
            <w:hideMark/>
          </w:tcPr>
          <w:p w14:paraId="48640DCB"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15,192</w:t>
            </w:r>
          </w:p>
        </w:tc>
        <w:tc>
          <w:tcPr>
            <w:tcW w:w="1623" w:type="pct"/>
            <w:tcBorders>
              <w:top w:val="nil"/>
              <w:left w:val="nil"/>
              <w:bottom w:val="nil"/>
              <w:right w:val="nil"/>
            </w:tcBorders>
            <w:shd w:val="clear" w:color="auto" w:fill="auto"/>
            <w:vAlign w:val="center"/>
            <w:hideMark/>
          </w:tcPr>
          <w:p w14:paraId="41720AA6"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0.055317</w:t>
            </w:r>
          </w:p>
        </w:tc>
      </w:tr>
      <w:tr w:rsidR="00694DBB" w:rsidRPr="00694DBB" w14:paraId="531EE1CF" w14:textId="77777777" w:rsidTr="00694DBB">
        <w:trPr>
          <w:trHeight w:val="288"/>
        </w:trPr>
        <w:tc>
          <w:tcPr>
            <w:tcW w:w="1716" w:type="pct"/>
            <w:tcBorders>
              <w:top w:val="nil"/>
              <w:left w:val="nil"/>
              <w:bottom w:val="nil"/>
              <w:right w:val="nil"/>
            </w:tcBorders>
            <w:shd w:val="clear" w:color="000000" w:fill="E7E6E6"/>
            <w:vAlign w:val="center"/>
            <w:hideMark/>
          </w:tcPr>
          <w:p w14:paraId="1B7CC70C"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5–9 years</w:t>
            </w:r>
          </w:p>
        </w:tc>
        <w:tc>
          <w:tcPr>
            <w:tcW w:w="1660" w:type="pct"/>
            <w:tcBorders>
              <w:top w:val="nil"/>
              <w:left w:val="nil"/>
              <w:bottom w:val="nil"/>
              <w:right w:val="nil"/>
            </w:tcBorders>
            <w:shd w:val="clear" w:color="000000" w:fill="E7E6E6"/>
            <w:vAlign w:val="center"/>
            <w:hideMark/>
          </w:tcPr>
          <w:p w14:paraId="1CECD52D"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19,920</w:t>
            </w:r>
          </w:p>
        </w:tc>
        <w:tc>
          <w:tcPr>
            <w:tcW w:w="1623" w:type="pct"/>
            <w:tcBorders>
              <w:top w:val="nil"/>
              <w:left w:val="nil"/>
              <w:bottom w:val="nil"/>
              <w:right w:val="nil"/>
            </w:tcBorders>
            <w:shd w:val="clear" w:color="000000" w:fill="E7E6E6"/>
            <w:vAlign w:val="center"/>
            <w:hideMark/>
          </w:tcPr>
          <w:p w14:paraId="44BAF391"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0.075320</w:t>
            </w:r>
          </w:p>
        </w:tc>
      </w:tr>
      <w:tr w:rsidR="00694DBB" w:rsidRPr="00694DBB" w14:paraId="261E4C76" w14:textId="77777777" w:rsidTr="00694DBB">
        <w:trPr>
          <w:trHeight w:val="288"/>
        </w:trPr>
        <w:tc>
          <w:tcPr>
            <w:tcW w:w="1716" w:type="pct"/>
            <w:tcBorders>
              <w:top w:val="nil"/>
              <w:left w:val="nil"/>
              <w:bottom w:val="nil"/>
              <w:right w:val="nil"/>
            </w:tcBorders>
            <w:shd w:val="clear" w:color="auto" w:fill="auto"/>
            <w:vAlign w:val="center"/>
            <w:hideMark/>
          </w:tcPr>
          <w:p w14:paraId="62C99DC3"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10–14 years</w:t>
            </w:r>
          </w:p>
        </w:tc>
        <w:tc>
          <w:tcPr>
            <w:tcW w:w="1660" w:type="pct"/>
            <w:tcBorders>
              <w:top w:val="nil"/>
              <w:left w:val="nil"/>
              <w:bottom w:val="nil"/>
              <w:right w:val="nil"/>
            </w:tcBorders>
            <w:shd w:val="clear" w:color="auto" w:fill="auto"/>
            <w:vAlign w:val="center"/>
            <w:hideMark/>
          </w:tcPr>
          <w:p w14:paraId="6BB61A54"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20,057</w:t>
            </w:r>
          </w:p>
        </w:tc>
        <w:tc>
          <w:tcPr>
            <w:tcW w:w="1623" w:type="pct"/>
            <w:tcBorders>
              <w:top w:val="nil"/>
              <w:left w:val="nil"/>
              <w:bottom w:val="nil"/>
              <w:right w:val="nil"/>
            </w:tcBorders>
            <w:shd w:val="clear" w:color="auto" w:fill="auto"/>
            <w:vAlign w:val="center"/>
            <w:hideMark/>
          </w:tcPr>
          <w:p w14:paraId="441CF636"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0.073032</w:t>
            </w:r>
          </w:p>
        </w:tc>
      </w:tr>
      <w:tr w:rsidR="00694DBB" w:rsidRPr="00694DBB" w14:paraId="090C7968" w14:textId="77777777" w:rsidTr="00694DBB">
        <w:trPr>
          <w:trHeight w:val="288"/>
        </w:trPr>
        <w:tc>
          <w:tcPr>
            <w:tcW w:w="1716" w:type="pct"/>
            <w:tcBorders>
              <w:top w:val="nil"/>
              <w:left w:val="nil"/>
              <w:bottom w:val="nil"/>
              <w:right w:val="nil"/>
            </w:tcBorders>
            <w:shd w:val="clear" w:color="000000" w:fill="E7E6E6"/>
            <w:vAlign w:val="center"/>
            <w:hideMark/>
          </w:tcPr>
          <w:p w14:paraId="73681259"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15–17 years</w:t>
            </w:r>
          </w:p>
        </w:tc>
        <w:tc>
          <w:tcPr>
            <w:tcW w:w="1660" w:type="pct"/>
            <w:tcBorders>
              <w:top w:val="nil"/>
              <w:left w:val="nil"/>
              <w:bottom w:val="nil"/>
              <w:right w:val="nil"/>
            </w:tcBorders>
            <w:shd w:val="clear" w:color="000000" w:fill="E7E6E6"/>
            <w:vAlign w:val="center"/>
            <w:hideMark/>
          </w:tcPr>
          <w:p w14:paraId="7A94C51B"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11,819</w:t>
            </w:r>
          </w:p>
        </w:tc>
        <w:tc>
          <w:tcPr>
            <w:tcW w:w="1623" w:type="pct"/>
            <w:tcBorders>
              <w:top w:val="nil"/>
              <w:left w:val="nil"/>
              <w:bottom w:val="nil"/>
              <w:right w:val="nil"/>
            </w:tcBorders>
            <w:shd w:val="clear" w:color="000000" w:fill="E7E6E6"/>
            <w:vAlign w:val="center"/>
            <w:hideMark/>
          </w:tcPr>
          <w:p w14:paraId="385AA8DA"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0.043035</w:t>
            </w:r>
          </w:p>
        </w:tc>
      </w:tr>
      <w:tr w:rsidR="00694DBB" w:rsidRPr="00694DBB" w14:paraId="4555A75E" w14:textId="77777777" w:rsidTr="00694DBB">
        <w:trPr>
          <w:trHeight w:val="288"/>
        </w:trPr>
        <w:tc>
          <w:tcPr>
            <w:tcW w:w="1716" w:type="pct"/>
            <w:tcBorders>
              <w:top w:val="nil"/>
              <w:left w:val="nil"/>
              <w:bottom w:val="nil"/>
              <w:right w:val="nil"/>
            </w:tcBorders>
            <w:shd w:val="clear" w:color="auto" w:fill="auto"/>
            <w:vAlign w:val="center"/>
            <w:hideMark/>
          </w:tcPr>
          <w:p w14:paraId="3E9A45D3"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18–19 years</w:t>
            </w:r>
          </w:p>
        </w:tc>
        <w:tc>
          <w:tcPr>
            <w:tcW w:w="1660" w:type="pct"/>
            <w:tcBorders>
              <w:top w:val="nil"/>
              <w:left w:val="nil"/>
              <w:bottom w:val="nil"/>
              <w:right w:val="nil"/>
            </w:tcBorders>
            <w:shd w:val="clear" w:color="auto" w:fill="auto"/>
            <w:vAlign w:val="center"/>
            <w:hideMark/>
          </w:tcPr>
          <w:p w14:paraId="3F758E96"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8,001</w:t>
            </w:r>
          </w:p>
        </w:tc>
        <w:tc>
          <w:tcPr>
            <w:tcW w:w="1623" w:type="pct"/>
            <w:tcBorders>
              <w:top w:val="nil"/>
              <w:left w:val="nil"/>
              <w:bottom w:val="nil"/>
              <w:right w:val="nil"/>
            </w:tcBorders>
            <w:shd w:val="clear" w:color="auto" w:fill="auto"/>
            <w:vAlign w:val="center"/>
            <w:hideMark/>
          </w:tcPr>
          <w:p w14:paraId="1BEBEFA7"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0.029133</w:t>
            </w:r>
          </w:p>
        </w:tc>
      </w:tr>
      <w:tr w:rsidR="00694DBB" w:rsidRPr="00694DBB" w14:paraId="65FCF70E" w14:textId="77777777" w:rsidTr="00694DBB">
        <w:trPr>
          <w:trHeight w:val="288"/>
        </w:trPr>
        <w:tc>
          <w:tcPr>
            <w:tcW w:w="1716" w:type="pct"/>
            <w:tcBorders>
              <w:top w:val="nil"/>
              <w:left w:val="nil"/>
              <w:bottom w:val="nil"/>
              <w:right w:val="nil"/>
            </w:tcBorders>
            <w:shd w:val="clear" w:color="000000" w:fill="E7E6E6"/>
            <w:vAlign w:val="center"/>
            <w:hideMark/>
          </w:tcPr>
          <w:p w14:paraId="0202A8DA"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20–24 years</w:t>
            </w:r>
          </w:p>
        </w:tc>
        <w:tc>
          <w:tcPr>
            <w:tcW w:w="1660" w:type="pct"/>
            <w:tcBorders>
              <w:top w:val="nil"/>
              <w:left w:val="nil"/>
              <w:bottom w:val="nil"/>
              <w:right w:val="nil"/>
            </w:tcBorders>
            <w:shd w:val="clear" w:color="000000" w:fill="E7E6E6"/>
            <w:vAlign w:val="center"/>
            <w:hideMark/>
          </w:tcPr>
          <w:p w14:paraId="3B1475A8"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18,257</w:t>
            </w:r>
          </w:p>
        </w:tc>
        <w:tc>
          <w:tcPr>
            <w:tcW w:w="1623" w:type="pct"/>
            <w:tcBorders>
              <w:top w:val="nil"/>
              <w:left w:val="nil"/>
              <w:bottom w:val="nil"/>
              <w:right w:val="nil"/>
            </w:tcBorders>
            <w:shd w:val="clear" w:color="000000" w:fill="E7E6E6"/>
            <w:vAlign w:val="center"/>
            <w:hideMark/>
          </w:tcPr>
          <w:p w14:paraId="1AF28C4C"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0.066478</w:t>
            </w:r>
          </w:p>
        </w:tc>
      </w:tr>
      <w:tr w:rsidR="00694DBB" w:rsidRPr="00694DBB" w14:paraId="06B13438" w14:textId="77777777" w:rsidTr="00694DBB">
        <w:trPr>
          <w:trHeight w:val="288"/>
        </w:trPr>
        <w:tc>
          <w:tcPr>
            <w:tcW w:w="1716" w:type="pct"/>
            <w:tcBorders>
              <w:top w:val="nil"/>
              <w:left w:val="nil"/>
              <w:bottom w:val="nil"/>
              <w:right w:val="nil"/>
            </w:tcBorders>
            <w:shd w:val="clear" w:color="auto" w:fill="auto"/>
            <w:vAlign w:val="center"/>
            <w:hideMark/>
          </w:tcPr>
          <w:p w14:paraId="349EBDD0"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25–34 years</w:t>
            </w:r>
          </w:p>
        </w:tc>
        <w:tc>
          <w:tcPr>
            <w:tcW w:w="1660" w:type="pct"/>
            <w:tcBorders>
              <w:top w:val="nil"/>
              <w:left w:val="nil"/>
              <w:bottom w:val="nil"/>
              <w:right w:val="nil"/>
            </w:tcBorders>
            <w:shd w:val="clear" w:color="auto" w:fill="auto"/>
            <w:vAlign w:val="center"/>
            <w:hideMark/>
          </w:tcPr>
          <w:p w14:paraId="48E4935A"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37,233</w:t>
            </w:r>
          </w:p>
        </w:tc>
        <w:tc>
          <w:tcPr>
            <w:tcW w:w="1623" w:type="pct"/>
            <w:tcBorders>
              <w:top w:val="nil"/>
              <w:left w:val="nil"/>
              <w:bottom w:val="nil"/>
              <w:right w:val="nil"/>
            </w:tcBorders>
            <w:shd w:val="clear" w:color="auto" w:fill="auto"/>
            <w:vAlign w:val="center"/>
            <w:hideMark/>
          </w:tcPr>
          <w:p w14:paraId="03F5C5C8"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0.135574</w:t>
            </w:r>
          </w:p>
        </w:tc>
      </w:tr>
      <w:tr w:rsidR="00694DBB" w:rsidRPr="00694DBB" w14:paraId="371BC89F" w14:textId="77777777" w:rsidTr="00694DBB">
        <w:trPr>
          <w:trHeight w:val="288"/>
        </w:trPr>
        <w:tc>
          <w:tcPr>
            <w:tcW w:w="1716" w:type="pct"/>
            <w:tcBorders>
              <w:top w:val="nil"/>
              <w:left w:val="nil"/>
              <w:bottom w:val="nil"/>
              <w:right w:val="nil"/>
            </w:tcBorders>
            <w:shd w:val="clear" w:color="000000" w:fill="E7E6E6"/>
            <w:vAlign w:val="center"/>
            <w:hideMark/>
          </w:tcPr>
          <w:p w14:paraId="572D0269"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35–44 years</w:t>
            </w:r>
          </w:p>
        </w:tc>
        <w:tc>
          <w:tcPr>
            <w:tcW w:w="1660" w:type="pct"/>
            <w:tcBorders>
              <w:top w:val="nil"/>
              <w:left w:val="nil"/>
              <w:bottom w:val="nil"/>
              <w:right w:val="nil"/>
            </w:tcBorders>
            <w:shd w:val="clear" w:color="000000" w:fill="E7E6E6"/>
            <w:vAlign w:val="center"/>
            <w:hideMark/>
          </w:tcPr>
          <w:p w14:paraId="74C26D94"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44,659</w:t>
            </w:r>
          </w:p>
        </w:tc>
        <w:tc>
          <w:tcPr>
            <w:tcW w:w="1623" w:type="pct"/>
            <w:tcBorders>
              <w:top w:val="nil"/>
              <w:left w:val="nil"/>
              <w:bottom w:val="nil"/>
              <w:right w:val="nil"/>
            </w:tcBorders>
            <w:shd w:val="clear" w:color="000000" w:fill="E7E6E6"/>
            <w:vAlign w:val="center"/>
            <w:hideMark/>
          </w:tcPr>
          <w:p w14:paraId="61F2B522"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0.162613</w:t>
            </w:r>
          </w:p>
        </w:tc>
      </w:tr>
      <w:tr w:rsidR="00694DBB" w:rsidRPr="00694DBB" w14:paraId="415AEC3C" w14:textId="77777777" w:rsidTr="00694DBB">
        <w:trPr>
          <w:trHeight w:val="288"/>
        </w:trPr>
        <w:tc>
          <w:tcPr>
            <w:tcW w:w="1716" w:type="pct"/>
            <w:tcBorders>
              <w:top w:val="nil"/>
              <w:left w:val="nil"/>
              <w:bottom w:val="nil"/>
              <w:right w:val="nil"/>
            </w:tcBorders>
            <w:shd w:val="clear" w:color="auto" w:fill="auto"/>
            <w:vAlign w:val="center"/>
            <w:hideMark/>
          </w:tcPr>
          <w:p w14:paraId="3FEC4B7C"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45–54 years</w:t>
            </w:r>
          </w:p>
        </w:tc>
        <w:tc>
          <w:tcPr>
            <w:tcW w:w="1660" w:type="pct"/>
            <w:tcBorders>
              <w:top w:val="nil"/>
              <w:left w:val="nil"/>
              <w:bottom w:val="nil"/>
              <w:right w:val="nil"/>
            </w:tcBorders>
            <w:shd w:val="clear" w:color="auto" w:fill="auto"/>
            <w:vAlign w:val="center"/>
            <w:hideMark/>
          </w:tcPr>
          <w:p w14:paraId="6718B813"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37,030</w:t>
            </w:r>
          </w:p>
        </w:tc>
        <w:tc>
          <w:tcPr>
            <w:tcW w:w="1623" w:type="pct"/>
            <w:tcBorders>
              <w:top w:val="nil"/>
              <w:left w:val="nil"/>
              <w:bottom w:val="nil"/>
              <w:right w:val="nil"/>
            </w:tcBorders>
            <w:shd w:val="clear" w:color="auto" w:fill="auto"/>
            <w:vAlign w:val="center"/>
            <w:hideMark/>
          </w:tcPr>
          <w:p w14:paraId="3A5A9D8D"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0.134834</w:t>
            </w:r>
          </w:p>
        </w:tc>
      </w:tr>
      <w:tr w:rsidR="00694DBB" w:rsidRPr="00694DBB" w14:paraId="6879886B" w14:textId="77777777" w:rsidTr="00694DBB">
        <w:trPr>
          <w:trHeight w:val="288"/>
        </w:trPr>
        <w:tc>
          <w:tcPr>
            <w:tcW w:w="1716" w:type="pct"/>
            <w:tcBorders>
              <w:top w:val="nil"/>
              <w:left w:val="nil"/>
              <w:bottom w:val="nil"/>
              <w:right w:val="nil"/>
            </w:tcBorders>
            <w:shd w:val="clear" w:color="000000" w:fill="E7E6E6"/>
            <w:vAlign w:val="center"/>
            <w:hideMark/>
          </w:tcPr>
          <w:p w14:paraId="5825949C"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55–64 years</w:t>
            </w:r>
          </w:p>
        </w:tc>
        <w:tc>
          <w:tcPr>
            <w:tcW w:w="1660" w:type="pct"/>
            <w:tcBorders>
              <w:top w:val="nil"/>
              <w:left w:val="nil"/>
              <w:bottom w:val="nil"/>
              <w:right w:val="nil"/>
            </w:tcBorders>
            <w:shd w:val="clear" w:color="000000" w:fill="E7E6E6"/>
            <w:vAlign w:val="center"/>
            <w:hideMark/>
          </w:tcPr>
          <w:p w14:paraId="34C30435"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23,961</w:t>
            </w:r>
          </w:p>
        </w:tc>
        <w:tc>
          <w:tcPr>
            <w:tcW w:w="1623" w:type="pct"/>
            <w:tcBorders>
              <w:top w:val="nil"/>
              <w:left w:val="nil"/>
              <w:bottom w:val="nil"/>
              <w:right w:val="nil"/>
            </w:tcBorders>
            <w:shd w:val="clear" w:color="000000" w:fill="E7E6E6"/>
            <w:vAlign w:val="center"/>
            <w:hideMark/>
          </w:tcPr>
          <w:p w14:paraId="38852F6F"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0.087247</w:t>
            </w:r>
          </w:p>
        </w:tc>
      </w:tr>
      <w:tr w:rsidR="00694DBB" w:rsidRPr="00694DBB" w14:paraId="69E05EED" w14:textId="77777777" w:rsidTr="00694DBB">
        <w:trPr>
          <w:trHeight w:val="288"/>
        </w:trPr>
        <w:tc>
          <w:tcPr>
            <w:tcW w:w="1716" w:type="pct"/>
            <w:tcBorders>
              <w:top w:val="nil"/>
              <w:left w:val="nil"/>
              <w:bottom w:val="nil"/>
              <w:right w:val="nil"/>
            </w:tcBorders>
            <w:shd w:val="clear" w:color="auto" w:fill="auto"/>
            <w:vAlign w:val="center"/>
            <w:hideMark/>
          </w:tcPr>
          <w:p w14:paraId="19735B92"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65–74 years</w:t>
            </w:r>
          </w:p>
        </w:tc>
        <w:tc>
          <w:tcPr>
            <w:tcW w:w="1660" w:type="pct"/>
            <w:tcBorders>
              <w:top w:val="nil"/>
              <w:left w:val="nil"/>
              <w:bottom w:val="nil"/>
              <w:right w:val="nil"/>
            </w:tcBorders>
            <w:shd w:val="clear" w:color="auto" w:fill="auto"/>
            <w:vAlign w:val="center"/>
            <w:hideMark/>
          </w:tcPr>
          <w:p w14:paraId="798CBCB0"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18,136</w:t>
            </w:r>
          </w:p>
        </w:tc>
        <w:tc>
          <w:tcPr>
            <w:tcW w:w="1623" w:type="pct"/>
            <w:tcBorders>
              <w:top w:val="nil"/>
              <w:left w:val="nil"/>
              <w:bottom w:val="nil"/>
              <w:right w:val="nil"/>
            </w:tcBorders>
            <w:shd w:val="clear" w:color="auto" w:fill="auto"/>
            <w:vAlign w:val="center"/>
            <w:hideMark/>
          </w:tcPr>
          <w:p w14:paraId="272FA52C"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0.066037</w:t>
            </w:r>
          </w:p>
        </w:tc>
      </w:tr>
      <w:tr w:rsidR="00694DBB" w:rsidRPr="00694DBB" w14:paraId="0B7C22C6" w14:textId="77777777" w:rsidTr="00694DBB">
        <w:trPr>
          <w:trHeight w:val="288"/>
        </w:trPr>
        <w:tc>
          <w:tcPr>
            <w:tcW w:w="1716" w:type="pct"/>
            <w:tcBorders>
              <w:top w:val="nil"/>
              <w:left w:val="nil"/>
              <w:bottom w:val="nil"/>
              <w:right w:val="nil"/>
            </w:tcBorders>
            <w:shd w:val="clear" w:color="000000" w:fill="E7E6E6"/>
            <w:vAlign w:val="center"/>
            <w:hideMark/>
          </w:tcPr>
          <w:p w14:paraId="5FA6910C"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75–84 years</w:t>
            </w:r>
          </w:p>
        </w:tc>
        <w:tc>
          <w:tcPr>
            <w:tcW w:w="1660" w:type="pct"/>
            <w:tcBorders>
              <w:top w:val="nil"/>
              <w:left w:val="nil"/>
              <w:bottom w:val="nil"/>
              <w:right w:val="nil"/>
            </w:tcBorders>
            <w:shd w:val="clear" w:color="000000" w:fill="E7E6E6"/>
            <w:vAlign w:val="center"/>
            <w:hideMark/>
          </w:tcPr>
          <w:p w14:paraId="1417693B"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12,315</w:t>
            </w:r>
          </w:p>
        </w:tc>
        <w:tc>
          <w:tcPr>
            <w:tcW w:w="1623" w:type="pct"/>
            <w:tcBorders>
              <w:top w:val="nil"/>
              <w:left w:val="nil"/>
              <w:bottom w:val="nil"/>
              <w:right w:val="nil"/>
            </w:tcBorders>
            <w:shd w:val="clear" w:color="000000" w:fill="E7E6E6"/>
            <w:vAlign w:val="center"/>
            <w:hideMark/>
          </w:tcPr>
          <w:p w14:paraId="612CB72D"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0.044842</w:t>
            </w:r>
          </w:p>
        </w:tc>
      </w:tr>
      <w:tr w:rsidR="00694DBB" w:rsidRPr="00694DBB" w14:paraId="4D0745A3" w14:textId="77777777" w:rsidTr="00694DBB">
        <w:trPr>
          <w:trHeight w:val="300"/>
        </w:trPr>
        <w:tc>
          <w:tcPr>
            <w:tcW w:w="1716" w:type="pct"/>
            <w:tcBorders>
              <w:top w:val="nil"/>
              <w:left w:val="nil"/>
              <w:bottom w:val="single" w:sz="8" w:space="0" w:color="auto"/>
              <w:right w:val="nil"/>
            </w:tcBorders>
            <w:shd w:val="clear" w:color="auto" w:fill="auto"/>
            <w:vAlign w:val="center"/>
            <w:hideMark/>
          </w:tcPr>
          <w:p w14:paraId="344ECF36"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85 years and over</w:t>
            </w:r>
          </w:p>
        </w:tc>
        <w:tc>
          <w:tcPr>
            <w:tcW w:w="1660" w:type="pct"/>
            <w:tcBorders>
              <w:top w:val="nil"/>
              <w:left w:val="nil"/>
              <w:bottom w:val="single" w:sz="8" w:space="0" w:color="auto"/>
              <w:right w:val="nil"/>
            </w:tcBorders>
            <w:shd w:val="clear" w:color="auto" w:fill="auto"/>
            <w:vAlign w:val="center"/>
            <w:hideMark/>
          </w:tcPr>
          <w:p w14:paraId="4E7016D2"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4,259</w:t>
            </w:r>
          </w:p>
        </w:tc>
        <w:tc>
          <w:tcPr>
            <w:tcW w:w="1623" w:type="pct"/>
            <w:tcBorders>
              <w:top w:val="nil"/>
              <w:left w:val="nil"/>
              <w:bottom w:val="single" w:sz="8" w:space="0" w:color="auto"/>
              <w:right w:val="nil"/>
            </w:tcBorders>
            <w:shd w:val="clear" w:color="auto" w:fill="auto"/>
            <w:vAlign w:val="center"/>
            <w:hideMark/>
          </w:tcPr>
          <w:p w14:paraId="3D2845B7" w14:textId="77777777" w:rsidR="00694DBB" w:rsidRPr="00694DBB" w:rsidRDefault="00694DBB" w:rsidP="00694DBB">
            <w:pPr>
              <w:spacing w:after="0" w:line="240" w:lineRule="auto"/>
              <w:rPr>
                <w:rFonts w:ascii="Tahoma" w:eastAsia="Times New Roman" w:hAnsi="Tahoma" w:cs="Tahoma"/>
                <w:color w:val="000000"/>
                <w:sz w:val="20"/>
                <w:szCs w:val="20"/>
              </w:rPr>
            </w:pPr>
            <w:r w:rsidRPr="00694DBB">
              <w:rPr>
                <w:rFonts w:ascii="Tahoma" w:eastAsia="Times New Roman" w:hAnsi="Tahoma" w:cs="Tahoma"/>
                <w:color w:val="000000"/>
                <w:sz w:val="20"/>
                <w:szCs w:val="20"/>
              </w:rPr>
              <w:t>0.015508</w:t>
            </w:r>
          </w:p>
        </w:tc>
      </w:tr>
    </w:tbl>
    <w:p w14:paraId="0A161B0C" w14:textId="271975F4" w:rsidR="007A6860" w:rsidRPr="00903B92" w:rsidRDefault="007A6860" w:rsidP="00103E31">
      <w:pPr>
        <w:pStyle w:val="NoSpacing"/>
        <w:rPr>
          <w:rFonts w:ascii="Tahoma" w:hAnsi="Tahoma" w:cs="Tahoma"/>
          <w:b/>
          <w:bCs/>
        </w:rPr>
      </w:pPr>
    </w:p>
    <w:sectPr w:rsidR="007A6860" w:rsidRPr="00903B92" w:rsidSect="000967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C2A2" w14:textId="77777777" w:rsidR="007A6860" w:rsidRDefault="007A6860" w:rsidP="007A6860">
      <w:pPr>
        <w:spacing w:after="0" w:line="240" w:lineRule="auto"/>
      </w:pPr>
      <w:r>
        <w:separator/>
      </w:r>
    </w:p>
  </w:endnote>
  <w:endnote w:type="continuationSeparator" w:id="0">
    <w:p w14:paraId="490EA147" w14:textId="77777777" w:rsidR="007A6860" w:rsidRDefault="007A6860" w:rsidP="007A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2BA5" w14:textId="77777777" w:rsidR="007A6860" w:rsidRDefault="007A6860" w:rsidP="007A6860">
      <w:pPr>
        <w:spacing w:after="0" w:line="240" w:lineRule="auto"/>
      </w:pPr>
      <w:r>
        <w:separator/>
      </w:r>
    </w:p>
  </w:footnote>
  <w:footnote w:type="continuationSeparator" w:id="0">
    <w:p w14:paraId="25561C86" w14:textId="77777777" w:rsidR="007A6860" w:rsidRDefault="007A6860" w:rsidP="007A6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745"/>
    <w:multiLevelType w:val="hybridMultilevel"/>
    <w:tmpl w:val="0AEC5F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4E15717"/>
    <w:multiLevelType w:val="hybridMultilevel"/>
    <w:tmpl w:val="ACD8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F20A1"/>
    <w:multiLevelType w:val="hybridMultilevel"/>
    <w:tmpl w:val="EA1A98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405E1"/>
    <w:multiLevelType w:val="hybridMultilevel"/>
    <w:tmpl w:val="3A8C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042507">
    <w:abstractNumId w:val="2"/>
  </w:num>
  <w:num w:numId="2" w16cid:durableId="1122067744">
    <w:abstractNumId w:val="1"/>
  </w:num>
  <w:num w:numId="3" w16cid:durableId="2075277605">
    <w:abstractNumId w:val="3"/>
  </w:num>
  <w:num w:numId="4" w16cid:durableId="5408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0A"/>
    <w:rsid w:val="00011DBC"/>
    <w:rsid w:val="00025195"/>
    <w:rsid w:val="000758FF"/>
    <w:rsid w:val="00096778"/>
    <w:rsid w:val="000D43D5"/>
    <w:rsid w:val="00103E31"/>
    <w:rsid w:val="00112E69"/>
    <w:rsid w:val="00167308"/>
    <w:rsid w:val="001B4C99"/>
    <w:rsid w:val="001F055E"/>
    <w:rsid w:val="0020376C"/>
    <w:rsid w:val="00250F78"/>
    <w:rsid w:val="002539E9"/>
    <w:rsid w:val="002E5B05"/>
    <w:rsid w:val="00354E8B"/>
    <w:rsid w:val="003811E5"/>
    <w:rsid w:val="005B4D0A"/>
    <w:rsid w:val="005C22C5"/>
    <w:rsid w:val="00634B74"/>
    <w:rsid w:val="00694DBB"/>
    <w:rsid w:val="006970AF"/>
    <w:rsid w:val="006B60C8"/>
    <w:rsid w:val="006D7AF1"/>
    <w:rsid w:val="00706007"/>
    <w:rsid w:val="00706075"/>
    <w:rsid w:val="007967C3"/>
    <w:rsid w:val="007A6860"/>
    <w:rsid w:val="007E7E73"/>
    <w:rsid w:val="00863397"/>
    <w:rsid w:val="00890B37"/>
    <w:rsid w:val="008A0639"/>
    <w:rsid w:val="00903B92"/>
    <w:rsid w:val="00907E58"/>
    <w:rsid w:val="009274B5"/>
    <w:rsid w:val="00933AA0"/>
    <w:rsid w:val="009E34D7"/>
    <w:rsid w:val="009E51D7"/>
    <w:rsid w:val="00A13250"/>
    <w:rsid w:val="00A45B0F"/>
    <w:rsid w:val="00A51BBB"/>
    <w:rsid w:val="00A761A9"/>
    <w:rsid w:val="00A94124"/>
    <w:rsid w:val="00AE29BA"/>
    <w:rsid w:val="00BA189C"/>
    <w:rsid w:val="00BA1AFF"/>
    <w:rsid w:val="00BC35A8"/>
    <w:rsid w:val="00BF5FA6"/>
    <w:rsid w:val="00CB56D6"/>
    <w:rsid w:val="00CE476D"/>
    <w:rsid w:val="00D319FC"/>
    <w:rsid w:val="00D5494E"/>
    <w:rsid w:val="00D62300"/>
    <w:rsid w:val="00DC7038"/>
    <w:rsid w:val="00DD7DE8"/>
    <w:rsid w:val="00DF0F87"/>
    <w:rsid w:val="00E93F56"/>
    <w:rsid w:val="00EA2CD4"/>
    <w:rsid w:val="00FA2487"/>
    <w:rsid w:val="00FA7394"/>
    <w:rsid w:val="00FB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42C9"/>
  <w15:chartTrackingRefBased/>
  <w15:docId w15:val="{09DDEFC9-6709-4BFD-B807-6375520E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0A"/>
  </w:style>
  <w:style w:type="paragraph" w:styleId="Heading1">
    <w:name w:val="heading 1"/>
    <w:basedOn w:val="Normal"/>
    <w:next w:val="Normal"/>
    <w:link w:val="Heading1Char"/>
    <w:uiPriority w:val="9"/>
    <w:qFormat/>
    <w:rsid w:val="00DF0F87"/>
    <w:pPr>
      <w:keepNext/>
      <w:keepLines/>
      <w:spacing w:before="240" w:after="0"/>
      <w:outlineLvl w:val="0"/>
    </w:pPr>
    <w:rPr>
      <w:rFonts w:ascii="Trebuchet MS" w:eastAsiaTheme="majorEastAsia" w:hAnsi="Trebuchet MS" w:cstheme="majorBidi"/>
      <w:b/>
      <w:sz w:val="28"/>
      <w:szCs w:val="32"/>
    </w:rPr>
  </w:style>
  <w:style w:type="paragraph" w:styleId="Heading2">
    <w:name w:val="heading 2"/>
    <w:basedOn w:val="Normal"/>
    <w:next w:val="Normal"/>
    <w:link w:val="Heading2Char"/>
    <w:uiPriority w:val="9"/>
    <w:unhideWhenUsed/>
    <w:qFormat/>
    <w:rsid w:val="00DF0F87"/>
    <w:pPr>
      <w:keepNext/>
      <w:keepLines/>
      <w:spacing w:before="40" w:after="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D0A"/>
    <w:pPr>
      <w:ind w:left="720"/>
      <w:contextualSpacing/>
    </w:pPr>
  </w:style>
  <w:style w:type="paragraph" w:styleId="NoSpacing">
    <w:name w:val="No Spacing"/>
    <w:uiPriority w:val="1"/>
    <w:qFormat/>
    <w:rsid w:val="00DD7DE8"/>
    <w:pPr>
      <w:spacing w:after="0" w:line="240" w:lineRule="auto"/>
    </w:pPr>
  </w:style>
  <w:style w:type="character" w:styleId="CommentReference">
    <w:name w:val="annotation reference"/>
    <w:basedOn w:val="DefaultParagraphFont"/>
    <w:uiPriority w:val="99"/>
    <w:semiHidden/>
    <w:unhideWhenUsed/>
    <w:rsid w:val="007967C3"/>
    <w:rPr>
      <w:sz w:val="16"/>
      <w:szCs w:val="16"/>
    </w:rPr>
  </w:style>
  <w:style w:type="paragraph" w:styleId="CommentText">
    <w:name w:val="annotation text"/>
    <w:basedOn w:val="Normal"/>
    <w:link w:val="CommentTextChar"/>
    <w:uiPriority w:val="99"/>
    <w:unhideWhenUsed/>
    <w:rsid w:val="007967C3"/>
    <w:pPr>
      <w:spacing w:line="240" w:lineRule="auto"/>
    </w:pPr>
    <w:rPr>
      <w:sz w:val="20"/>
      <w:szCs w:val="20"/>
    </w:rPr>
  </w:style>
  <w:style w:type="character" w:customStyle="1" w:styleId="CommentTextChar">
    <w:name w:val="Comment Text Char"/>
    <w:basedOn w:val="DefaultParagraphFont"/>
    <w:link w:val="CommentText"/>
    <w:uiPriority w:val="99"/>
    <w:rsid w:val="007967C3"/>
    <w:rPr>
      <w:sz w:val="20"/>
      <w:szCs w:val="20"/>
    </w:rPr>
  </w:style>
  <w:style w:type="paragraph" w:styleId="CommentSubject">
    <w:name w:val="annotation subject"/>
    <w:basedOn w:val="CommentText"/>
    <w:next w:val="CommentText"/>
    <w:link w:val="CommentSubjectChar"/>
    <w:uiPriority w:val="99"/>
    <w:semiHidden/>
    <w:unhideWhenUsed/>
    <w:rsid w:val="007967C3"/>
    <w:rPr>
      <w:b/>
      <w:bCs/>
    </w:rPr>
  </w:style>
  <w:style w:type="character" w:customStyle="1" w:styleId="CommentSubjectChar">
    <w:name w:val="Comment Subject Char"/>
    <w:basedOn w:val="CommentTextChar"/>
    <w:link w:val="CommentSubject"/>
    <w:uiPriority w:val="99"/>
    <w:semiHidden/>
    <w:rsid w:val="007967C3"/>
    <w:rPr>
      <w:b/>
      <w:bCs/>
      <w:sz w:val="20"/>
      <w:szCs w:val="20"/>
    </w:rPr>
  </w:style>
  <w:style w:type="character" w:styleId="Hyperlink">
    <w:name w:val="Hyperlink"/>
    <w:basedOn w:val="DefaultParagraphFont"/>
    <w:uiPriority w:val="99"/>
    <w:unhideWhenUsed/>
    <w:rsid w:val="009E34D7"/>
    <w:rPr>
      <w:color w:val="0563C1" w:themeColor="hyperlink"/>
      <w:u w:val="single"/>
    </w:rPr>
  </w:style>
  <w:style w:type="character" w:styleId="PlaceholderText">
    <w:name w:val="Placeholder Text"/>
    <w:basedOn w:val="DefaultParagraphFont"/>
    <w:uiPriority w:val="99"/>
    <w:semiHidden/>
    <w:rsid w:val="002539E9"/>
    <w:rPr>
      <w:color w:val="808080"/>
    </w:rPr>
  </w:style>
  <w:style w:type="character" w:styleId="UnresolvedMention">
    <w:name w:val="Unresolved Mention"/>
    <w:basedOn w:val="DefaultParagraphFont"/>
    <w:uiPriority w:val="99"/>
    <w:semiHidden/>
    <w:unhideWhenUsed/>
    <w:rsid w:val="00FB62E4"/>
    <w:rPr>
      <w:color w:val="605E5C"/>
      <w:shd w:val="clear" w:color="auto" w:fill="E1DFDD"/>
    </w:rPr>
  </w:style>
  <w:style w:type="paragraph" w:styleId="Header">
    <w:name w:val="header"/>
    <w:basedOn w:val="Normal"/>
    <w:link w:val="HeaderChar"/>
    <w:uiPriority w:val="99"/>
    <w:unhideWhenUsed/>
    <w:rsid w:val="007A6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860"/>
  </w:style>
  <w:style w:type="paragraph" w:styleId="Footer">
    <w:name w:val="footer"/>
    <w:basedOn w:val="Normal"/>
    <w:link w:val="FooterChar"/>
    <w:uiPriority w:val="99"/>
    <w:unhideWhenUsed/>
    <w:rsid w:val="007A6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860"/>
  </w:style>
  <w:style w:type="paragraph" w:styleId="Revision">
    <w:name w:val="Revision"/>
    <w:hidden/>
    <w:uiPriority w:val="99"/>
    <w:semiHidden/>
    <w:rsid w:val="00DF0F87"/>
    <w:pPr>
      <w:spacing w:after="0" w:line="240" w:lineRule="auto"/>
    </w:pPr>
  </w:style>
  <w:style w:type="character" w:customStyle="1" w:styleId="Heading1Char">
    <w:name w:val="Heading 1 Char"/>
    <w:basedOn w:val="DefaultParagraphFont"/>
    <w:link w:val="Heading1"/>
    <w:uiPriority w:val="9"/>
    <w:rsid w:val="00DF0F87"/>
    <w:rPr>
      <w:rFonts w:ascii="Trebuchet MS" w:eastAsiaTheme="majorEastAsia" w:hAnsi="Trebuchet MS" w:cstheme="majorBidi"/>
      <w:b/>
      <w:sz w:val="28"/>
      <w:szCs w:val="32"/>
    </w:rPr>
  </w:style>
  <w:style w:type="character" w:customStyle="1" w:styleId="Heading2Char">
    <w:name w:val="Heading 2 Char"/>
    <w:basedOn w:val="DefaultParagraphFont"/>
    <w:link w:val="Heading2"/>
    <w:uiPriority w:val="9"/>
    <w:rsid w:val="00DF0F87"/>
    <w:rPr>
      <w:rFonts w:ascii="Trebuchet MS" w:eastAsiaTheme="majorEastAsia" w:hAnsi="Trebuchet MS" w:cstheme="majorBidi"/>
      <w:b/>
      <w:sz w:val="24"/>
      <w:szCs w:val="26"/>
    </w:rPr>
  </w:style>
  <w:style w:type="paragraph" w:styleId="Title">
    <w:name w:val="Title"/>
    <w:basedOn w:val="Normal"/>
    <w:next w:val="Normal"/>
    <w:link w:val="TitleChar"/>
    <w:uiPriority w:val="10"/>
    <w:qFormat/>
    <w:rsid w:val="00DF0F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F8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0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70607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497">
      <w:bodyDiv w:val="1"/>
      <w:marLeft w:val="0"/>
      <w:marRight w:val="0"/>
      <w:marTop w:val="0"/>
      <w:marBottom w:val="0"/>
      <w:divBdr>
        <w:top w:val="none" w:sz="0" w:space="0" w:color="auto"/>
        <w:left w:val="none" w:sz="0" w:space="0" w:color="auto"/>
        <w:bottom w:val="none" w:sz="0" w:space="0" w:color="auto"/>
        <w:right w:val="none" w:sz="0" w:space="0" w:color="auto"/>
      </w:divBdr>
    </w:div>
    <w:div w:id="519006464">
      <w:bodyDiv w:val="1"/>
      <w:marLeft w:val="0"/>
      <w:marRight w:val="0"/>
      <w:marTop w:val="0"/>
      <w:marBottom w:val="0"/>
      <w:divBdr>
        <w:top w:val="none" w:sz="0" w:space="0" w:color="auto"/>
        <w:left w:val="none" w:sz="0" w:space="0" w:color="auto"/>
        <w:bottom w:val="none" w:sz="0" w:space="0" w:color="auto"/>
        <w:right w:val="none" w:sz="0" w:space="0" w:color="auto"/>
      </w:divBdr>
    </w:div>
    <w:div w:id="1017386318">
      <w:bodyDiv w:val="1"/>
      <w:marLeft w:val="0"/>
      <w:marRight w:val="0"/>
      <w:marTop w:val="0"/>
      <w:marBottom w:val="0"/>
      <w:divBdr>
        <w:top w:val="none" w:sz="0" w:space="0" w:color="auto"/>
        <w:left w:val="none" w:sz="0" w:space="0" w:color="auto"/>
        <w:bottom w:val="none" w:sz="0" w:space="0" w:color="auto"/>
        <w:right w:val="none" w:sz="0" w:space="0" w:color="auto"/>
      </w:divBdr>
    </w:div>
    <w:div w:id="1377898023">
      <w:bodyDiv w:val="1"/>
      <w:marLeft w:val="0"/>
      <w:marRight w:val="0"/>
      <w:marTop w:val="0"/>
      <w:marBottom w:val="0"/>
      <w:divBdr>
        <w:top w:val="none" w:sz="0" w:space="0" w:color="auto"/>
        <w:left w:val="none" w:sz="0" w:space="0" w:color="auto"/>
        <w:bottom w:val="none" w:sz="0" w:space="0" w:color="auto"/>
        <w:right w:val="none" w:sz="0" w:space="0" w:color="auto"/>
      </w:divBdr>
    </w:div>
    <w:div w:id="1406107134">
      <w:bodyDiv w:val="1"/>
      <w:marLeft w:val="0"/>
      <w:marRight w:val="0"/>
      <w:marTop w:val="0"/>
      <w:marBottom w:val="0"/>
      <w:divBdr>
        <w:top w:val="none" w:sz="0" w:space="0" w:color="auto"/>
        <w:left w:val="none" w:sz="0" w:space="0" w:color="auto"/>
        <w:bottom w:val="none" w:sz="0" w:space="0" w:color="auto"/>
        <w:right w:val="none" w:sz="0" w:space="0" w:color="auto"/>
      </w:divBdr>
    </w:div>
    <w:div w:id="1963070927">
      <w:bodyDiv w:val="1"/>
      <w:marLeft w:val="0"/>
      <w:marRight w:val="0"/>
      <w:marTop w:val="0"/>
      <w:marBottom w:val="0"/>
      <w:divBdr>
        <w:top w:val="none" w:sz="0" w:space="0" w:color="auto"/>
        <w:left w:val="none" w:sz="0" w:space="0" w:color="auto"/>
        <w:bottom w:val="none" w:sz="0" w:space="0" w:color="auto"/>
        <w:right w:val="none" w:sz="0" w:space="0" w:color="auto"/>
      </w:divBdr>
    </w:div>
    <w:div w:id="2021659440">
      <w:bodyDiv w:val="1"/>
      <w:marLeft w:val="0"/>
      <w:marRight w:val="0"/>
      <w:marTop w:val="0"/>
      <w:marBottom w:val="0"/>
      <w:divBdr>
        <w:top w:val="none" w:sz="0" w:space="0" w:color="auto"/>
        <w:left w:val="none" w:sz="0" w:space="0" w:color="auto"/>
        <w:bottom w:val="none" w:sz="0" w:space="0" w:color="auto"/>
        <w:right w:val="none" w:sz="0" w:space="0" w:color="auto"/>
      </w:divBdr>
    </w:div>
    <w:div w:id="202567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statutes/statutes/69/i/03/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stats/births/infant-mortality.htm" TargetMode="External"/><Relationship Id="rId5" Type="http://schemas.openxmlformats.org/officeDocument/2006/relationships/webSettings" Target="webSettings.xml"/><Relationship Id="rId10" Type="http://schemas.openxmlformats.org/officeDocument/2006/relationships/hyperlink" Target="https://www.dhs.wisconsin.gov/wish/index.htm" TargetMode="External"/><Relationship Id="rId4" Type="http://schemas.openxmlformats.org/officeDocument/2006/relationships/settings" Target="settings.xml"/><Relationship Id="rId9" Type="http://schemas.openxmlformats.org/officeDocument/2006/relationships/hyperlink" Target="https://www.cdc.gov/nchs/nvss/manuals/2a-sectioni-202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AB16-B4E9-4C50-8597-B6519994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Champion, Kristen E - DHS</dc:creator>
  <cp:keywords/>
  <dc:description/>
  <cp:lastModifiedBy>Champion, Kristen E - DHS</cp:lastModifiedBy>
  <cp:revision>2</cp:revision>
  <dcterms:created xsi:type="dcterms:W3CDTF">2025-02-24T19:54:00Z</dcterms:created>
  <dcterms:modified xsi:type="dcterms:W3CDTF">2025-02-24T19:54:00Z</dcterms:modified>
</cp:coreProperties>
</file>